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756" w:rsidRDefault="00000000">
      <w:pPr>
        <w:spacing w:afterLines="50" w:after="156" w:line="480" w:lineRule="auto"/>
        <w:jc w:val="center"/>
        <w:rPr>
          <w:rFonts w:ascii="宋体" w:eastAsia="宋体" w:hAnsi="宋体"/>
          <w:bCs/>
          <w:sz w:val="28"/>
          <w:szCs w:val="28"/>
        </w:rPr>
      </w:pPr>
      <w:r>
        <w:rPr>
          <w:noProof/>
        </w:rPr>
        <w:drawing>
          <wp:inline distT="0" distB="0" distL="0" distR="0">
            <wp:extent cx="4162425" cy="1190625"/>
            <wp:effectExtent l="19050" t="0" r="9525" b="0"/>
            <wp:docPr id="1" name="图片 1" descr="C:\Users\Vistop\AppData\Local\Temp\ksohtml\wps5F6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Vistop\AppData\Local\Temp\ksohtml\wps5F6F.tmp.jpg"/>
                    <pic:cNvPicPr>
                      <a:picLocks noChangeAspect="1" noChangeArrowheads="1"/>
                    </pic:cNvPicPr>
                  </pic:nvPicPr>
                  <pic:blipFill>
                    <a:blip r:embed="rId4"/>
                    <a:srcRect/>
                    <a:stretch>
                      <a:fillRect/>
                    </a:stretch>
                  </pic:blipFill>
                  <pic:spPr>
                    <a:xfrm>
                      <a:off x="0" y="0"/>
                      <a:ext cx="4162425" cy="1190625"/>
                    </a:xfrm>
                    <a:prstGeom prst="rect">
                      <a:avLst/>
                    </a:prstGeom>
                    <a:noFill/>
                    <a:ln w="9525">
                      <a:noFill/>
                      <a:miter lim="800000"/>
                      <a:headEnd/>
                      <a:tailEnd/>
                    </a:ln>
                  </pic:spPr>
                </pic:pic>
              </a:graphicData>
            </a:graphic>
          </wp:inline>
        </w:drawing>
      </w:r>
      <w:r>
        <w:rPr>
          <w:rFonts w:ascii="宋体" w:hAnsi="宋体" w:hint="eastAsia"/>
          <w:bCs/>
          <w:sz w:val="28"/>
          <w:szCs w:val="28"/>
        </w:rPr>
        <w:t xml:space="preserve"> </w:t>
      </w:r>
    </w:p>
    <w:p w:rsidR="002B6756" w:rsidRDefault="00000000">
      <w:pPr>
        <w:spacing w:beforeLines="100" w:before="312" w:afterLines="50" w:after="156" w:line="480" w:lineRule="auto"/>
        <w:jc w:val="center"/>
        <w:rPr>
          <w:rFonts w:ascii="方正小标宋简体" w:eastAsia="方正小标宋简体" w:hAnsi="宋体"/>
          <w:bCs/>
          <w:sz w:val="52"/>
          <w:szCs w:val="52"/>
        </w:rPr>
      </w:pPr>
      <w:r>
        <w:rPr>
          <w:rFonts w:ascii="黑体" w:eastAsia="黑体" w:hAnsi="黑体" w:hint="eastAsia"/>
          <w:bCs/>
          <w:sz w:val="56"/>
          <w:szCs w:val="56"/>
        </w:rPr>
        <w:t>硕士学位授权点建设年度报告</w:t>
      </w:r>
    </w:p>
    <w:p w:rsidR="002B6756" w:rsidRDefault="00000000">
      <w:pPr>
        <w:spacing w:afterLines="50" w:after="156" w:line="560" w:lineRule="exact"/>
        <w:jc w:val="center"/>
        <w:rPr>
          <w:rFonts w:ascii="楷体_GB2312" w:eastAsia="楷体_GB2312"/>
          <w:bCs/>
          <w:sz w:val="32"/>
          <w:szCs w:val="32"/>
        </w:rPr>
      </w:pPr>
      <w:r>
        <w:rPr>
          <w:rFonts w:ascii="楷体_GB2312" w:eastAsia="楷体_GB2312" w:hint="eastAsia"/>
          <w:bCs/>
          <w:sz w:val="32"/>
          <w:szCs w:val="32"/>
        </w:rPr>
        <w:t>（</w:t>
      </w:r>
      <w:r w:rsidR="00CE6F2F">
        <w:rPr>
          <w:rFonts w:ascii="楷体_GB2312" w:eastAsia="楷体_GB2312"/>
          <w:bCs/>
          <w:sz w:val="32"/>
          <w:szCs w:val="32"/>
        </w:rPr>
        <w:t>2023</w:t>
      </w:r>
      <w:r>
        <w:rPr>
          <w:rFonts w:ascii="楷体_GB2312" w:eastAsia="楷体_GB2312" w:hint="eastAsia"/>
          <w:bCs/>
          <w:sz w:val="32"/>
          <w:szCs w:val="32"/>
        </w:rPr>
        <w:t>年度）</w:t>
      </w:r>
    </w:p>
    <w:p w:rsidR="002B6756" w:rsidRDefault="00000000">
      <w:pPr>
        <w:spacing w:afterLines="50" w:after="156" w:line="560" w:lineRule="exact"/>
        <w:jc w:val="center"/>
        <w:rPr>
          <w:rFonts w:ascii="方正小标宋简体" w:eastAsia="方正小标宋简体" w:hAnsi="宋体"/>
          <w:b/>
          <w:sz w:val="52"/>
          <w:szCs w:val="52"/>
        </w:rPr>
      </w:pPr>
      <w:r>
        <w:rPr>
          <w:rFonts w:ascii="方正小标宋简体" w:eastAsia="方正小标宋简体" w:hAnsi="宋体" w:hint="eastAsia"/>
          <w:b/>
          <w:sz w:val="52"/>
          <w:szCs w:val="52"/>
        </w:rPr>
        <w:t xml:space="preserve"> </w:t>
      </w:r>
    </w:p>
    <w:p w:rsidR="002B6756" w:rsidRDefault="00000000">
      <w:pPr>
        <w:spacing w:afterLines="50" w:after="156" w:line="560" w:lineRule="exact"/>
        <w:jc w:val="center"/>
        <w:rPr>
          <w:rFonts w:ascii="方正小标宋简体" w:eastAsia="方正小标宋简体" w:hAnsi="宋体"/>
          <w:b/>
          <w:sz w:val="52"/>
          <w:szCs w:val="52"/>
        </w:rPr>
      </w:pPr>
      <w:r>
        <w:rPr>
          <w:rFonts w:ascii="方正小标宋简体" w:eastAsia="方正小标宋简体" w:hAnsi="宋体" w:hint="eastAsia"/>
          <w:b/>
          <w:sz w:val="52"/>
          <w:szCs w:val="52"/>
        </w:rPr>
        <w:t xml:space="preserve"> </w:t>
      </w:r>
    </w:p>
    <w:tbl>
      <w:tblPr>
        <w:tblW w:w="0" w:type="auto"/>
        <w:jc w:val="center"/>
        <w:tblLayout w:type="fixed"/>
        <w:tblLook w:val="04A0" w:firstRow="1" w:lastRow="0" w:firstColumn="1" w:lastColumn="0" w:noHBand="0" w:noVBand="1"/>
      </w:tblPr>
      <w:tblGrid>
        <w:gridCol w:w="6763"/>
      </w:tblGrid>
      <w:tr w:rsidR="002B6756">
        <w:trPr>
          <w:jc w:val="center"/>
        </w:trPr>
        <w:tc>
          <w:tcPr>
            <w:tcW w:w="6763" w:type="dxa"/>
            <w:tcBorders>
              <w:top w:val="nil"/>
              <w:left w:val="nil"/>
              <w:bottom w:val="nil"/>
              <w:right w:val="nil"/>
            </w:tcBorders>
          </w:tcPr>
          <w:p w:rsidR="002B6756" w:rsidRDefault="00000000">
            <w:pPr>
              <w:spacing w:line="600" w:lineRule="auto"/>
              <w:jc w:val="left"/>
              <w:rPr>
                <w:rFonts w:ascii="楷体_GB2312" w:eastAsia="楷体_GB2312"/>
                <w:bCs/>
                <w:sz w:val="30"/>
                <w:szCs w:val="30"/>
                <w:u w:val="single"/>
              </w:rPr>
            </w:pPr>
            <w:r>
              <w:rPr>
                <w:rFonts w:ascii="楷体_GB2312" w:eastAsia="楷体_GB2312" w:hint="eastAsia"/>
                <w:bCs/>
                <w:sz w:val="30"/>
                <w:szCs w:val="30"/>
              </w:rPr>
              <w:t>一级</w:t>
            </w:r>
            <w:r>
              <w:rPr>
                <w:rFonts w:ascii="楷体_GB2312" w:eastAsia="楷体_GB2312"/>
                <w:bCs/>
                <w:sz w:val="30"/>
                <w:szCs w:val="30"/>
              </w:rPr>
              <w:t>学科</w:t>
            </w:r>
            <w:r>
              <w:rPr>
                <w:rFonts w:ascii="楷体_GB2312" w:eastAsia="楷体_GB2312" w:hint="eastAsia"/>
                <w:bCs/>
                <w:sz w:val="30"/>
                <w:szCs w:val="30"/>
              </w:rPr>
              <w:t>名称：</w:t>
            </w:r>
            <w:r>
              <w:rPr>
                <w:rFonts w:eastAsia="楷体_GB2312"/>
                <w:bCs/>
                <w:sz w:val="30"/>
                <w:szCs w:val="30"/>
                <w:u w:val="single"/>
              </w:rPr>
              <w:t xml:space="preserve">   </w:t>
            </w:r>
            <w:r>
              <w:rPr>
                <w:rFonts w:ascii="楷体_GB2312" w:eastAsia="楷体_GB2312" w:hint="eastAsia"/>
                <w:bCs/>
                <w:sz w:val="30"/>
                <w:szCs w:val="30"/>
                <w:u w:val="single"/>
              </w:rPr>
              <w:t xml:space="preserve"> </w:t>
            </w:r>
            <w:r>
              <w:rPr>
                <w:rFonts w:eastAsia="楷体_GB2312"/>
                <w:bCs/>
                <w:sz w:val="30"/>
                <w:szCs w:val="30"/>
                <w:u w:val="single"/>
              </w:rPr>
              <w:t xml:space="preserve"> </w:t>
            </w:r>
            <w:r w:rsidR="00CE6F2F">
              <w:rPr>
                <w:rFonts w:ascii="楷体_GB2312" w:eastAsia="楷体_GB2312" w:hAnsi="微软雅黑" w:cs="微软雅黑" w:hint="eastAsia"/>
                <w:bCs/>
                <w:sz w:val="30"/>
                <w:szCs w:val="30"/>
                <w:u w:val="single"/>
              </w:rPr>
              <w:t>食品科学与工程</w:t>
            </w:r>
            <w:r>
              <w:rPr>
                <w:rFonts w:eastAsia="楷体_GB2312"/>
                <w:bCs/>
                <w:sz w:val="30"/>
                <w:szCs w:val="30"/>
                <w:u w:val="single"/>
              </w:rPr>
              <w:t xml:space="preserve">                                     </w:t>
            </w:r>
          </w:p>
          <w:p w:rsidR="002B6756" w:rsidRDefault="00000000">
            <w:pPr>
              <w:spacing w:line="600" w:lineRule="auto"/>
              <w:jc w:val="left"/>
              <w:rPr>
                <w:rFonts w:ascii="楷体_GB2312" w:eastAsia="楷体_GB2312"/>
                <w:bCs/>
                <w:sz w:val="30"/>
                <w:szCs w:val="30"/>
              </w:rPr>
            </w:pPr>
            <w:r>
              <w:rPr>
                <w:rFonts w:ascii="楷体_GB2312" w:eastAsia="楷体_GB2312" w:hint="eastAsia"/>
                <w:bCs/>
                <w:sz w:val="30"/>
                <w:szCs w:val="30"/>
              </w:rPr>
              <w:t>一级</w:t>
            </w:r>
            <w:r>
              <w:rPr>
                <w:rFonts w:ascii="楷体_GB2312" w:eastAsia="楷体_GB2312"/>
                <w:bCs/>
                <w:sz w:val="30"/>
                <w:szCs w:val="30"/>
              </w:rPr>
              <w:t>学科</w:t>
            </w:r>
            <w:r>
              <w:rPr>
                <w:rFonts w:ascii="楷体_GB2312" w:eastAsia="楷体_GB2312" w:hint="eastAsia"/>
                <w:bCs/>
                <w:sz w:val="30"/>
                <w:szCs w:val="30"/>
              </w:rPr>
              <w:t>代码：</w:t>
            </w:r>
            <w:r>
              <w:rPr>
                <w:rFonts w:eastAsia="楷体_GB2312"/>
                <w:bCs/>
                <w:sz w:val="30"/>
                <w:szCs w:val="30"/>
                <w:u w:val="single"/>
              </w:rPr>
              <w:t xml:space="preserve">     </w:t>
            </w:r>
            <w:r w:rsidR="00CE6F2F">
              <w:rPr>
                <w:rFonts w:ascii="Times New Roman" w:eastAsia="楷体_GB2312" w:hAnsi="Times New Roman" w:cs="Times New Roman"/>
                <w:bCs/>
                <w:sz w:val="30"/>
                <w:szCs w:val="30"/>
                <w:u w:val="single"/>
              </w:rPr>
              <w:t>08</w:t>
            </w:r>
            <w:r w:rsidR="00CE6F2F">
              <w:rPr>
                <w:rFonts w:ascii="Times New Roman" w:eastAsia="楷体_GB2312" w:hAnsi="Times New Roman" w:cs="Times New Roman" w:hint="eastAsia"/>
                <w:bCs/>
                <w:sz w:val="30"/>
                <w:szCs w:val="30"/>
                <w:u w:val="single"/>
              </w:rPr>
              <w:t>32</w:t>
            </w:r>
            <w:r w:rsidR="00CE6F2F">
              <w:rPr>
                <w:rFonts w:ascii="Times New Roman" w:eastAsia="楷体_GB2312" w:hAnsi="Times New Roman" w:cs="Times New Roman"/>
                <w:bCs/>
                <w:sz w:val="30"/>
                <w:szCs w:val="30"/>
                <w:u w:val="single"/>
              </w:rPr>
              <w:t xml:space="preserve"> </w:t>
            </w:r>
            <w:r>
              <w:rPr>
                <w:rFonts w:eastAsia="楷体_GB2312"/>
                <w:bCs/>
                <w:sz w:val="30"/>
                <w:szCs w:val="30"/>
                <w:u w:val="single"/>
              </w:rPr>
              <w:t xml:space="preserve">                                     </w:t>
            </w:r>
          </w:p>
          <w:p w:rsidR="002B6756" w:rsidRDefault="00000000">
            <w:pPr>
              <w:spacing w:line="600" w:lineRule="auto"/>
              <w:jc w:val="left"/>
              <w:rPr>
                <w:rFonts w:ascii="楷体_GB2312" w:eastAsia="楷体_GB2312"/>
                <w:bCs/>
                <w:sz w:val="30"/>
                <w:szCs w:val="30"/>
                <w:u w:val="single"/>
              </w:rPr>
            </w:pPr>
            <w:r>
              <w:rPr>
                <w:rFonts w:ascii="楷体_GB2312" w:eastAsia="楷体_GB2312" w:hint="eastAsia"/>
                <w:bCs/>
                <w:kern w:val="0"/>
                <w:sz w:val="30"/>
                <w:szCs w:val="30"/>
              </w:rPr>
              <w:t>学位点负责人：</w:t>
            </w:r>
            <w:r>
              <w:rPr>
                <w:rFonts w:eastAsia="楷体_GB2312"/>
                <w:bCs/>
                <w:sz w:val="30"/>
                <w:szCs w:val="30"/>
                <w:u w:val="single"/>
              </w:rPr>
              <w:t xml:space="preserve">     </w:t>
            </w:r>
            <w:r w:rsidR="00CE6F2F">
              <w:rPr>
                <w:rFonts w:eastAsia="楷体_GB2312" w:hint="eastAsia"/>
                <w:bCs/>
                <w:sz w:val="30"/>
                <w:szCs w:val="30"/>
                <w:u w:val="single"/>
              </w:rPr>
              <w:t>罗惠波</w:t>
            </w:r>
            <w:r>
              <w:rPr>
                <w:rFonts w:eastAsia="楷体_GB2312"/>
                <w:bCs/>
                <w:sz w:val="30"/>
                <w:szCs w:val="30"/>
                <w:u w:val="single"/>
              </w:rPr>
              <w:t xml:space="preserve">         </w:t>
            </w:r>
            <w:r>
              <w:rPr>
                <w:rFonts w:ascii="楷体_GB2312" w:eastAsia="楷体_GB2312" w:hint="eastAsia"/>
                <w:bCs/>
                <w:sz w:val="30"/>
                <w:szCs w:val="30"/>
                <w:u w:val="single"/>
              </w:rPr>
              <w:t xml:space="preserve"> </w:t>
            </w:r>
            <w:r>
              <w:rPr>
                <w:rFonts w:eastAsia="楷体_GB2312"/>
                <w:bCs/>
                <w:sz w:val="30"/>
                <w:szCs w:val="30"/>
                <w:u w:val="single"/>
              </w:rPr>
              <w:t xml:space="preserve">                                               </w:t>
            </w:r>
          </w:p>
          <w:p w:rsidR="002B6756" w:rsidRDefault="00000000">
            <w:pPr>
              <w:spacing w:line="600" w:lineRule="auto"/>
              <w:jc w:val="left"/>
              <w:rPr>
                <w:rFonts w:ascii="楷体_GB2312" w:eastAsia="楷体_GB2312"/>
                <w:bCs/>
                <w:sz w:val="30"/>
                <w:szCs w:val="30"/>
                <w:u w:val="single"/>
              </w:rPr>
            </w:pPr>
            <w:r>
              <w:rPr>
                <w:rFonts w:ascii="楷体_GB2312" w:eastAsia="楷体_GB2312" w:hint="eastAsia"/>
                <w:bCs/>
                <w:sz w:val="30"/>
                <w:szCs w:val="30"/>
              </w:rPr>
              <w:t>所属学院：</w:t>
            </w:r>
            <w:r>
              <w:rPr>
                <w:rFonts w:eastAsia="楷体_GB2312"/>
                <w:bCs/>
                <w:kern w:val="0"/>
                <w:sz w:val="30"/>
                <w:szCs w:val="30"/>
                <w:u w:val="single"/>
              </w:rPr>
              <w:t xml:space="preserve"> </w:t>
            </w:r>
            <w:r>
              <w:rPr>
                <w:rFonts w:eastAsia="楷体_GB2312"/>
                <w:bCs/>
                <w:sz w:val="30"/>
                <w:szCs w:val="30"/>
                <w:u w:val="single"/>
              </w:rPr>
              <w:t xml:space="preserve">        </w:t>
            </w:r>
            <w:r w:rsidR="00CE6F2F">
              <w:rPr>
                <w:rFonts w:eastAsia="楷体_GB2312" w:hint="eastAsia"/>
                <w:bCs/>
                <w:sz w:val="30"/>
                <w:szCs w:val="30"/>
                <w:u w:val="single"/>
              </w:rPr>
              <w:t>生物工程学院</w:t>
            </w:r>
            <w:r w:rsidR="00CE6F2F">
              <w:rPr>
                <w:rFonts w:eastAsia="楷体_GB2312"/>
                <w:bCs/>
                <w:sz w:val="30"/>
                <w:szCs w:val="30"/>
                <w:u w:val="single"/>
              </w:rPr>
              <w:t xml:space="preserve">   </w:t>
            </w:r>
            <w:r>
              <w:rPr>
                <w:rFonts w:eastAsia="楷体_GB2312"/>
                <w:bCs/>
                <w:sz w:val="30"/>
                <w:szCs w:val="30"/>
                <w:u w:val="single"/>
              </w:rPr>
              <w:t xml:space="preserve">                                                               </w:t>
            </w:r>
          </w:p>
          <w:p w:rsidR="002B6756" w:rsidRDefault="00000000">
            <w:pPr>
              <w:spacing w:line="600" w:lineRule="auto"/>
              <w:jc w:val="left"/>
              <w:rPr>
                <w:rFonts w:ascii="楷体_GB2312" w:eastAsia="楷体_GB2312"/>
                <w:b/>
                <w:sz w:val="30"/>
                <w:szCs w:val="30"/>
              </w:rPr>
            </w:pPr>
            <w:r>
              <w:rPr>
                <w:rFonts w:ascii="楷体_GB2312" w:eastAsia="楷体_GB2312" w:hint="eastAsia"/>
                <w:bCs/>
                <w:sz w:val="30"/>
                <w:szCs w:val="30"/>
              </w:rPr>
              <w:t>所属学院负责人：</w:t>
            </w:r>
            <w:r>
              <w:rPr>
                <w:rFonts w:eastAsia="楷体_GB2312"/>
                <w:bCs/>
                <w:sz w:val="30"/>
                <w:szCs w:val="30"/>
                <w:u w:val="single"/>
              </w:rPr>
              <w:t xml:space="preserve">   </w:t>
            </w:r>
            <w:r w:rsidR="00CE6F2F">
              <w:rPr>
                <w:rFonts w:eastAsia="楷体_GB2312" w:hint="eastAsia"/>
                <w:bCs/>
                <w:sz w:val="30"/>
                <w:szCs w:val="30"/>
                <w:u w:val="single"/>
              </w:rPr>
              <w:t>赵志峰</w:t>
            </w:r>
            <w:r>
              <w:rPr>
                <w:rFonts w:eastAsia="楷体_GB2312"/>
                <w:bCs/>
                <w:sz w:val="30"/>
                <w:szCs w:val="30"/>
                <w:u w:val="single"/>
              </w:rPr>
              <w:t xml:space="preserve">         </w:t>
            </w:r>
            <w:r>
              <w:rPr>
                <w:rFonts w:ascii="楷体_GB2312" w:eastAsia="楷体_GB2312" w:hint="eastAsia"/>
                <w:bCs/>
                <w:sz w:val="30"/>
                <w:szCs w:val="30"/>
                <w:u w:val="single"/>
              </w:rPr>
              <w:t xml:space="preserve"> </w:t>
            </w:r>
            <w:r>
              <w:rPr>
                <w:rFonts w:eastAsia="楷体_GB2312"/>
                <w:bCs/>
                <w:sz w:val="30"/>
                <w:szCs w:val="30"/>
                <w:u w:val="single"/>
              </w:rPr>
              <w:t xml:space="preserve">                                            </w:t>
            </w:r>
            <w:r>
              <w:rPr>
                <w:rFonts w:eastAsia="楷体_GB2312"/>
                <w:sz w:val="30"/>
                <w:szCs w:val="30"/>
                <w:u w:val="single"/>
              </w:rPr>
              <w:t xml:space="preserve"> </w:t>
            </w:r>
          </w:p>
        </w:tc>
      </w:tr>
    </w:tbl>
    <w:p w:rsidR="002B6756" w:rsidRDefault="00000000">
      <w:pPr>
        <w:jc w:val="left"/>
        <w:rPr>
          <w:rFonts w:ascii="楷体_GB2312" w:eastAsia="楷体_GB2312" w:hAnsi="Times New Roman" w:cs="Times New Roman"/>
          <w:b/>
          <w:sz w:val="30"/>
          <w:szCs w:val="30"/>
        </w:rPr>
      </w:pPr>
      <w:r>
        <w:rPr>
          <w:rFonts w:ascii="楷体_GB2312" w:eastAsia="楷体_GB2312" w:hint="eastAsia"/>
          <w:b/>
          <w:sz w:val="30"/>
          <w:szCs w:val="30"/>
        </w:rPr>
        <w:t xml:space="preserve"> </w:t>
      </w:r>
    </w:p>
    <w:p w:rsidR="002B6756" w:rsidRDefault="002B6756">
      <w:pPr>
        <w:spacing w:afterLines="50" w:after="156" w:line="560" w:lineRule="exact"/>
        <w:rPr>
          <w:rFonts w:ascii="楷体_GB2312" w:eastAsia="楷体_GB2312"/>
          <w:b/>
          <w:kern w:val="0"/>
          <w:sz w:val="30"/>
          <w:szCs w:val="30"/>
          <w:u w:val="single"/>
        </w:rPr>
      </w:pPr>
    </w:p>
    <w:p w:rsidR="002B6756" w:rsidRDefault="00000000">
      <w:pPr>
        <w:spacing w:afterLines="50" w:after="156" w:line="560" w:lineRule="exact"/>
        <w:rPr>
          <w:rFonts w:ascii="Times New Roman" w:eastAsia="楷体_GB2312"/>
          <w:b/>
          <w:kern w:val="0"/>
          <w:sz w:val="30"/>
          <w:szCs w:val="30"/>
        </w:rPr>
      </w:pPr>
      <w:r>
        <w:rPr>
          <w:rFonts w:eastAsia="楷体_GB2312"/>
          <w:b/>
          <w:kern w:val="0"/>
          <w:sz w:val="30"/>
          <w:szCs w:val="30"/>
        </w:rPr>
        <w:t xml:space="preserve"> </w:t>
      </w:r>
    </w:p>
    <w:p w:rsidR="002B6756" w:rsidRDefault="00000000">
      <w:pPr>
        <w:jc w:val="center"/>
        <w:rPr>
          <w:rFonts w:eastAsia="楷体_GB2312"/>
          <w:b/>
          <w:sz w:val="30"/>
          <w:szCs w:val="30"/>
        </w:rPr>
      </w:pPr>
      <w:r>
        <w:rPr>
          <w:rFonts w:eastAsia="楷体_GB2312"/>
          <w:b/>
          <w:sz w:val="30"/>
          <w:szCs w:val="30"/>
        </w:rPr>
        <w:t xml:space="preserve"> </w:t>
      </w:r>
    </w:p>
    <w:p w:rsidR="002B6756" w:rsidRDefault="00000000">
      <w:pPr>
        <w:jc w:val="center"/>
        <w:rPr>
          <w:rFonts w:eastAsia="楷体_GB2312"/>
          <w:bCs/>
          <w:sz w:val="30"/>
          <w:szCs w:val="30"/>
        </w:rPr>
      </w:pPr>
      <w:r>
        <w:rPr>
          <w:rFonts w:eastAsia="楷体_GB2312"/>
          <w:bCs/>
          <w:sz w:val="30"/>
          <w:szCs w:val="30"/>
        </w:rPr>
        <w:t>20</w:t>
      </w:r>
      <w:r>
        <w:rPr>
          <w:rFonts w:eastAsia="楷体_GB2312" w:hint="eastAsia"/>
          <w:bCs/>
          <w:sz w:val="30"/>
          <w:szCs w:val="30"/>
        </w:rPr>
        <w:t>2</w:t>
      </w:r>
      <w:r w:rsidR="00CE6F2F">
        <w:rPr>
          <w:rFonts w:eastAsia="楷体_GB2312"/>
          <w:bCs/>
          <w:sz w:val="30"/>
          <w:szCs w:val="30"/>
        </w:rPr>
        <w:t>3</w:t>
      </w:r>
      <w:r>
        <w:rPr>
          <w:rFonts w:eastAsia="楷体_GB2312" w:hint="eastAsia"/>
          <w:bCs/>
          <w:sz w:val="30"/>
          <w:szCs w:val="30"/>
        </w:rPr>
        <w:t xml:space="preserve">  </w:t>
      </w:r>
      <w:r>
        <w:rPr>
          <w:rFonts w:ascii="楷体_GB2312" w:eastAsia="楷体_GB2312"/>
          <w:bCs/>
          <w:sz w:val="30"/>
          <w:szCs w:val="30"/>
        </w:rPr>
        <w:t>年</w:t>
      </w:r>
      <w:r>
        <w:rPr>
          <w:rFonts w:ascii="楷体_GB2312" w:eastAsia="楷体_GB2312" w:hint="eastAsia"/>
          <w:bCs/>
          <w:sz w:val="30"/>
          <w:szCs w:val="30"/>
        </w:rPr>
        <w:t xml:space="preserve"> </w:t>
      </w:r>
      <w:r>
        <w:rPr>
          <w:rFonts w:eastAsia="楷体_GB2312" w:hint="eastAsia"/>
          <w:bCs/>
          <w:sz w:val="30"/>
          <w:szCs w:val="30"/>
        </w:rPr>
        <w:t xml:space="preserve">12 </w:t>
      </w:r>
      <w:r>
        <w:rPr>
          <w:rFonts w:ascii="楷体_GB2312" w:eastAsia="楷体_GB2312"/>
          <w:bCs/>
          <w:sz w:val="30"/>
          <w:szCs w:val="30"/>
        </w:rPr>
        <w:t>月</w:t>
      </w:r>
    </w:p>
    <w:p w:rsidR="002B6756" w:rsidRDefault="00000000">
      <w:pPr>
        <w:spacing w:line="480" w:lineRule="exact"/>
        <w:ind w:right="-85"/>
        <w:jc w:val="center"/>
        <w:rPr>
          <w:rFonts w:ascii="黑体" w:eastAsia="黑体" w:hAnsi="黑体"/>
          <w:sz w:val="32"/>
          <w:szCs w:val="32"/>
        </w:rPr>
      </w:pPr>
      <w:r>
        <w:rPr>
          <w:rFonts w:eastAsia="楷体_GB2312"/>
          <w:bCs/>
          <w:sz w:val="30"/>
          <w:szCs w:val="30"/>
        </w:rPr>
        <w:br w:type="page"/>
      </w:r>
      <w:r>
        <w:rPr>
          <w:rFonts w:ascii="黑体" w:eastAsia="黑体" w:hAnsi="黑体" w:hint="eastAsia"/>
          <w:sz w:val="32"/>
          <w:szCs w:val="32"/>
        </w:rPr>
        <w:lastRenderedPageBreak/>
        <w:t>填表说明</w:t>
      </w:r>
    </w:p>
    <w:p w:rsidR="002B6756" w:rsidRDefault="00000000">
      <w:pPr>
        <w:spacing w:line="480" w:lineRule="exact"/>
        <w:ind w:right="-85"/>
        <w:jc w:val="center"/>
        <w:rPr>
          <w:rFonts w:ascii="黑体" w:eastAsia="黑体" w:hAnsi="黑体"/>
          <w:sz w:val="32"/>
          <w:szCs w:val="32"/>
        </w:rPr>
      </w:pPr>
      <w:r>
        <w:rPr>
          <w:rFonts w:ascii="黑体" w:eastAsia="黑体" w:hAnsi="黑体" w:hint="eastAsia"/>
          <w:sz w:val="32"/>
          <w:szCs w:val="32"/>
        </w:rPr>
        <w:t xml:space="preserve"> </w:t>
      </w:r>
    </w:p>
    <w:p w:rsidR="002B6756" w:rsidRDefault="00000000">
      <w:pPr>
        <w:spacing w:line="480" w:lineRule="exact"/>
        <w:ind w:right="-85" w:firstLineChars="200" w:firstLine="600"/>
        <w:rPr>
          <w:rFonts w:ascii="仿宋" w:eastAsia="仿宋" w:hAnsi="仿宋"/>
          <w:sz w:val="30"/>
          <w:szCs w:val="30"/>
        </w:rPr>
      </w:pPr>
      <w:r>
        <w:rPr>
          <w:rFonts w:ascii="仿宋" w:eastAsia="仿宋" w:hAnsi="仿宋" w:hint="eastAsia"/>
          <w:sz w:val="30"/>
          <w:szCs w:val="30"/>
        </w:rPr>
        <w:t>1.本报告中涉及的人员均指人事关系隶属本单位的在编人员以及与本单位签署全职工作合同的专任教师（含外籍教师），兼职人员不计在内；涉及的成果（论文、专著、专利、教材、科研奖项、教学成果等）均指署名第一单位获得的成果。</w:t>
      </w:r>
    </w:p>
    <w:p w:rsidR="002B6756" w:rsidRDefault="00000000">
      <w:pPr>
        <w:spacing w:line="480" w:lineRule="exact"/>
        <w:ind w:right="-85" w:firstLineChars="200" w:firstLine="600"/>
        <w:rPr>
          <w:rFonts w:ascii="仿宋" w:eastAsia="仿宋" w:hAnsi="仿宋"/>
          <w:sz w:val="30"/>
          <w:szCs w:val="30"/>
        </w:rPr>
      </w:pPr>
      <w:r>
        <w:rPr>
          <w:rFonts w:ascii="仿宋" w:eastAsia="仿宋" w:hAnsi="仿宋" w:hint="eastAsia"/>
          <w:sz w:val="30"/>
          <w:szCs w:val="30"/>
        </w:rPr>
        <w:t>2.本报告中，涉及状态信息的数据（学位授权点概况、师资队伍情况），统计时间点为202</w:t>
      </w:r>
      <w:r w:rsidR="0094671B">
        <w:rPr>
          <w:rFonts w:ascii="仿宋" w:eastAsia="仿宋" w:hAnsi="仿宋"/>
          <w:sz w:val="30"/>
          <w:szCs w:val="30"/>
        </w:rPr>
        <w:t>3</w:t>
      </w:r>
      <w:r>
        <w:rPr>
          <w:rFonts w:ascii="仿宋" w:eastAsia="仿宋" w:hAnsi="仿宋" w:hint="eastAsia"/>
          <w:sz w:val="30"/>
          <w:szCs w:val="30"/>
        </w:rPr>
        <w:t>年12月31日；其他涉及过程信息的数据（科学研究、人才培养、服务贡献相关数据），统计时间段为202</w:t>
      </w:r>
      <w:r w:rsidR="0094671B">
        <w:rPr>
          <w:rFonts w:ascii="仿宋" w:eastAsia="仿宋" w:hAnsi="仿宋"/>
          <w:sz w:val="30"/>
          <w:szCs w:val="30"/>
        </w:rPr>
        <w:t>3</w:t>
      </w:r>
      <w:r>
        <w:rPr>
          <w:rFonts w:ascii="仿宋" w:eastAsia="仿宋" w:hAnsi="仿宋" w:hint="eastAsia"/>
          <w:sz w:val="30"/>
          <w:szCs w:val="30"/>
        </w:rPr>
        <w:t>年1月1日至202</w:t>
      </w:r>
      <w:r w:rsidR="0094671B">
        <w:rPr>
          <w:rFonts w:ascii="仿宋" w:eastAsia="仿宋" w:hAnsi="仿宋"/>
          <w:sz w:val="30"/>
          <w:szCs w:val="30"/>
        </w:rPr>
        <w:t>3</w:t>
      </w:r>
      <w:r>
        <w:rPr>
          <w:rFonts w:ascii="仿宋" w:eastAsia="仿宋" w:hAnsi="仿宋" w:hint="eastAsia"/>
          <w:sz w:val="30"/>
          <w:szCs w:val="30"/>
        </w:rPr>
        <w:t>年12月31日。</w:t>
      </w:r>
    </w:p>
    <w:p w:rsidR="002B6756" w:rsidRDefault="00000000">
      <w:pPr>
        <w:spacing w:line="480" w:lineRule="exact"/>
        <w:ind w:right="-85" w:firstLineChars="200" w:firstLine="600"/>
        <w:rPr>
          <w:rFonts w:ascii="仿宋" w:eastAsia="仿宋" w:hAnsi="仿宋"/>
          <w:sz w:val="30"/>
          <w:szCs w:val="30"/>
        </w:rPr>
      </w:pPr>
      <w:r>
        <w:rPr>
          <w:rFonts w:ascii="仿宋" w:eastAsia="仿宋" w:hAnsi="仿宋" w:hint="eastAsia"/>
          <w:sz w:val="30"/>
          <w:szCs w:val="30"/>
        </w:rPr>
        <w:t>3.科研经费应是本学位点实际获得并计入本单位财务账目的经费。</w:t>
      </w:r>
    </w:p>
    <w:p w:rsidR="002B6756" w:rsidRDefault="00000000">
      <w:pPr>
        <w:spacing w:line="480" w:lineRule="exact"/>
        <w:ind w:right="-85" w:firstLineChars="200" w:firstLine="600"/>
        <w:rPr>
          <w:rFonts w:ascii="仿宋" w:eastAsia="仿宋" w:hAnsi="仿宋"/>
          <w:sz w:val="30"/>
          <w:szCs w:val="30"/>
        </w:rPr>
      </w:pPr>
      <w:r>
        <w:rPr>
          <w:rFonts w:ascii="仿宋" w:eastAsia="仿宋" w:hAnsi="仿宋" w:hint="eastAsia"/>
          <w:sz w:val="30"/>
          <w:szCs w:val="30"/>
        </w:rPr>
        <w:t>4.本表不得填写任何涉密内容，涉密信息须按国家和军队保密规定进行脱密处理。</w:t>
      </w:r>
    </w:p>
    <w:p w:rsidR="002B6756" w:rsidRDefault="00000000">
      <w:pPr>
        <w:rPr>
          <w:rFonts w:ascii="Times New Roman" w:eastAsia="宋体" w:hAnsi="Times New Roman"/>
          <w:szCs w:val="21"/>
        </w:rPr>
      </w:pPr>
      <w:r>
        <w:rPr>
          <w:rFonts w:ascii="仿宋" w:eastAsia="仿宋" w:hAnsi="仿宋" w:hint="eastAsia"/>
          <w:sz w:val="30"/>
          <w:szCs w:val="30"/>
        </w:rPr>
        <w:br w:type="page"/>
      </w:r>
    </w:p>
    <w:p w:rsidR="002B6756" w:rsidRDefault="00000000">
      <w:pPr>
        <w:widowControl/>
        <w:spacing w:line="420" w:lineRule="exact"/>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lastRenderedPageBreak/>
        <w:t xml:space="preserve">一、学位授权点基本情况 </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1.培养目标</w:t>
      </w:r>
    </w:p>
    <w:p w:rsidR="00D3400F" w:rsidRDefault="00D3400F" w:rsidP="00D3400F">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食品科学与工程一级硕士学位点建设，坚持“立足四川，服务西南，面向全国”，服务地方区域经济，密切对接产业，科教深度融合，各方向均紧密结合区域经济发展。</w:t>
      </w:r>
    </w:p>
    <w:p w:rsidR="00D3400F" w:rsidRDefault="00D3400F" w:rsidP="00D3400F">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本学科培养具备扎实的食品科学与工程理论基础和多维的专业知识体系，把握学科前沿、研究进展及发展趋势，了解行业现状与发展动态，具有创新意识和较高的外语、计算机水平，具备独立从事本学科科学研究、技术指导、产品开发、工程设计、质量控制和生产管理等工作能力的复合型高级专业技术人才。</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2.学位标准</w:t>
      </w:r>
    </w:p>
    <w:p w:rsidR="00332EEB" w:rsidRDefault="00332EEB" w:rsidP="00332EEB">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本年度学位点根据新的文件《四川轻化工大学硕士学位授予工作细则》（川轻化</w:t>
      </w:r>
      <w:r w:rsidR="00CC6BD6">
        <w:rPr>
          <w:rFonts w:ascii="仿宋" w:eastAsia="仿宋" w:hAnsi="仿宋" w:cs="仿宋" w:hint="eastAsia"/>
          <w:color w:val="000000"/>
          <w:sz w:val="24"/>
          <w:szCs w:val="24"/>
        </w:rPr>
        <w:t>学位</w:t>
      </w:r>
      <w:r>
        <w:rPr>
          <w:rFonts w:ascii="仿宋" w:eastAsia="仿宋" w:hAnsi="仿宋" w:cs="仿宋" w:hint="eastAsia"/>
          <w:color w:val="000000"/>
          <w:sz w:val="24"/>
          <w:szCs w:val="24"/>
        </w:rPr>
        <w:t>〔2022〕17号）要求对学位授予标准进行了修订，编制了《四川轻化工大学食品科学与工程一级学科硕士学位授予标准》，已从2</w:t>
      </w:r>
      <w:r>
        <w:rPr>
          <w:rFonts w:ascii="仿宋" w:eastAsia="仿宋" w:hAnsi="仿宋" w:cs="仿宋"/>
          <w:color w:val="000000"/>
          <w:sz w:val="24"/>
          <w:szCs w:val="24"/>
        </w:rPr>
        <w:t>02</w:t>
      </w:r>
      <w:r w:rsidR="00DA2FA1">
        <w:rPr>
          <w:rFonts w:ascii="仿宋" w:eastAsia="仿宋" w:hAnsi="仿宋" w:cs="仿宋"/>
          <w:color w:val="000000"/>
          <w:sz w:val="24"/>
          <w:szCs w:val="24"/>
        </w:rPr>
        <w:t>3</w:t>
      </w:r>
      <w:r>
        <w:rPr>
          <w:rFonts w:ascii="仿宋" w:eastAsia="仿宋" w:hAnsi="仿宋" w:cs="仿宋" w:hint="eastAsia"/>
          <w:color w:val="000000"/>
          <w:sz w:val="24"/>
          <w:szCs w:val="24"/>
        </w:rPr>
        <w:t>级研究生开始执行。</w:t>
      </w:r>
    </w:p>
    <w:p w:rsidR="002B6756" w:rsidRDefault="00000000">
      <w:pPr>
        <w:widowControl/>
        <w:spacing w:line="420" w:lineRule="exact"/>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二、基本条件 </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1.二级学科</w:t>
      </w:r>
      <w:r w:rsidR="00740EB5">
        <w:rPr>
          <w:rFonts w:ascii="仿宋" w:eastAsia="仿宋" w:hAnsi="仿宋" w:cs="仿宋" w:hint="eastAsia"/>
          <w:b/>
          <w:color w:val="000000"/>
          <w:kern w:val="0"/>
          <w:sz w:val="24"/>
          <w:szCs w:val="24"/>
        </w:rPr>
        <w:t>方向</w:t>
      </w:r>
    </w:p>
    <w:p w:rsidR="00694362" w:rsidRDefault="00694362" w:rsidP="00694362">
      <w:pPr>
        <w:pStyle w:val="1"/>
        <w:adjustRightInd w:val="0"/>
        <w:snapToGrid w:val="0"/>
        <w:spacing w:line="420" w:lineRule="exact"/>
        <w:ind w:firstLineChars="0"/>
        <w:textAlignment w:val="center"/>
        <w:rPr>
          <w:rFonts w:ascii="仿宋" w:eastAsia="仿宋" w:hAnsi="仿宋" w:cs="仿宋"/>
          <w:color w:val="000000"/>
          <w:sz w:val="24"/>
          <w:szCs w:val="24"/>
        </w:rPr>
      </w:pPr>
      <w:r>
        <w:rPr>
          <w:rFonts w:ascii="仿宋" w:eastAsia="仿宋" w:hAnsi="仿宋" w:cs="仿宋" w:hint="eastAsia"/>
          <w:color w:val="000000"/>
          <w:sz w:val="24"/>
          <w:szCs w:val="24"/>
        </w:rPr>
        <w:t>（1）食品科学</w:t>
      </w:r>
    </w:p>
    <w:p w:rsidR="00694362" w:rsidRDefault="00694362" w:rsidP="00694362">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食品饮料产业是四川省万亿支柱产业，本学科依托四川特色食品、调味品，走特色发展之路，紧密围绕区域社会经济发展的需要，聚焦食品生物技术、现代食品加工理论与基础、食品原料与品质、食品安全与健康四个研究方向，开展发酵食品和功能食品基础研究，在</w:t>
      </w:r>
      <w:bookmarkStart w:id="0" w:name="_Hlk150337058"/>
      <w:r>
        <w:rPr>
          <w:rFonts w:ascii="仿宋" w:eastAsia="仿宋" w:hAnsi="仿宋" w:cs="仿宋" w:hint="eastAsia"/>
          <w:color w:val="000000"/>
          <w:sz w:val="24"/>
          <w:szCs w:val="24"/>
        </w:rPr>
        <w:t>酿酒专用粮研究、饮食与人体健康</w:t>
      </w:r>
      <w:bookmarkEnd w:id="0"/>
      <w:r>
        <w:rPr>
          <w:rFonts w:ascii="仿宋" w:eastAsia="仿宋" w:hAnsi="仿宋" w:cs="仿宋" w:hint="eastAsia"/>
          <w:color w:val="000000"/>
          <w:sz w:val="24"/>
          <w:szCs w:val="24"/>
        </w:rPr>
        <w:t>、酿造调味品、食品精深加工、食品质量安全控制等方面开展了持续的理论研究和技术开发，取得了丰硕的科研及教学成果。</w:t>
      </w:r>
    </w:p>
    <w:p w:rsidR="00694362" w:rsidRDefault="00694362" w:rsidP="00694362">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）农产品加工及贮藏工程</w:t>
      </w:r>
    </w:p>
    <w:p w:rsidR="00694362" w:rsidRDefault="00694362" w:rsidP="00694362">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四川是农业、畜牧业大省，农产品加工与贮藏工程服务国家农业现代化目标和区域经济发展，重点结合四川农产品加工现状，坚持走特色农产品发展之路，推动农业供给侧结构性改革，与地方资源研究结合，与地方企业需求结合，以畜禽产品深加工贮藏技术、果蔬加工贮藏、农产品深加工与质量控制理论基础为重点，发挥自身优势，将理论与实践、工艺与设备、工程与管理、科研攻关、人才培养等结合起来，形成一定的学科特色。开展农产品深加工、副产品无害化处理及综合利用技术研究，配套产业化开发技术。</w:t>
      </w:r>
    </w:p>
    <w:p w:rsidR="00694362" w:rsidRDefault="00694362" w:rsidP="00694362">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3</w:t>
      </w:r>
      <w:r>
        <w:rPr>
          <w:rFonts w:ascii="仿宋" w:eastAsia="仿宋" w:hAnsi="仿宋" w:cs="仿宋" w:hint="eastAsia"/>
          <w:color w:val="000000"/>
          <w:sz w:val="24"/>
          <w:szCs w:val="24"/>
        </w:rPr>
        <w:t>）酿酒工程</w:t>
      </w:r>
    </w:p>
    <w:p w:rsidR="00694362" w:rsidRDefault="00694362" w:rsidP="00694362">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酿酒工程与四川省重点产业无缝对接，作为本学科“从一粒种子到一滴美酒”</w:t>
      </w:r>
      <w:r>
        <w:rPr>
          <w:rFonts w:ascii="仿宋" w:eastAsia="仿宋" w:hAnsi="仿宋" w:cs="仿宋" w:hint="eastAsia"/>
          <w:color w:val="000000"/>
          <w:sz w:val="24"/>
          <w:szCs w:val="24"/>
        </w:rPr>
        <w:lastRenderedPageBreak/>
        <w:t>为特色的全产业链布局的主干部分，以酿酒生物技术及应用为特色方向，围绕酿酒领域重大科学问题，聚焦制约产业发展的重点突破方向，整合多方资源，面向酿酒发酵机理、酿酒工艺优化、酿酒微生物、酿酒废弃物的处理及资源化利用热点问题，开展原创性研究，推动传统白酒产业升级转型。</w:t>
      </w:r>
    </w:p>
    <w:p w:rsidR="00694362" w:rsidRDefault="00694362" w:rsidP="00694362">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4</w:t>
      </w:r>
      <w:r>
        <w:rPr>
          <w:rFonts w:ascii="仿宋" w:eastAsia="仿宋" w:hAnsi="仿宋" w:cs="仿宋" w:hint="eastAsia"/>
          <w:color w:val="000000"/>
          <w:sz w:val="24"/>
          <w:szCs w:val="24"/>
        </w:rPr>
        <w:t>）智能酿造工程</w:t>
      </w:r>
    </w:p>
    <w:p w:rsidR="00694362" w:rsidRDefault="00694362" w:rsidP="00694362">
      <w:pPr>
        <w:pStyle w:val="1"/>
        <w:adjustRightInd w:val="0"/>
        <w:snapToGrid w:val="0"/>
        <w:spacing w:line="420" w:lineRule="exact"/>
        <w:ind w:firstLine="480"/>
        <w:textAlignment w:val="center"/>
        <w:rPr>
          <w:rFonts w:ascii="仿宋" w:eastAsia="仿宋" w:hAnsi="仿宋" w:cs="仿宋"/>
          <w:color w:val="000000"/>
          <w:sz w:val="24"/>
          <w:szCs w:val="24"/>
        </w:rPr>
      </w:pPr>
      <w:bookmarkStart w:id="1" w:name="_Hlk149153944"/>
      <w:r>
        <w:rPr>
          <w:rFonts w:ascii="仿宋" w:eastAsia="仿宋" w:hAnsi="仿宋" w:cs="仿宋" w:hint="eastAsia"/>
          <w:color w:val="000000"/>
          <w:sz w:val="24"/>
          <w:szCs w:val="24"/>
        </w:rPr>
        <w:t>本学科是我校食品科学与工程一级学科与数学、控制科学与工程、机械工程等一级学科共同合作，开设的交叉学科，主要开展酿造工程领域智能制造方面的工作。</w:t>
      </w:r>
      <w:bookmarkEnd w:id="1"/>
      <w:r>
        <w:rPr>
          <w:rFonts w:ascii="仿宋" w:eastAsia="仿宋" w:hAnsi="仿宋" w:cs="仿宋" w:hint="eastAsia"/>
          <w:color w:val="000000"/>
          <w:sz w:val="24"/>
          <w:szCs w:val="24"/>
        </w:rPr>
        <w:t>学科契合我校“产教融合”办学特色，按照“十三五”规划“白酒行业要注重智能酿造，加大白酒酿造基础科</w:t>
      </w:r>
      <w:r w:rsidR="00E54EC8">
        <w:rPr>
          <w:rFonts w:ascii="仿宋" w:eastAsia="仿宋" w:hAnsi="仿宋" w:cs="仿宋" w:hint="eastAsia"/>
          <w:color w:val="000000"/>
          <w:sz w:val="24"/>
          <w:szCs w:val="24"/>
        </w:rPr>
        <w:t>学</w:t>
      </w:r>
      <w:r>
        <w:rPr>
          <w:rFonts w:ascii="仿宋" w:eastAsia="仿宋" w:hAnsi="仿宋" w:cs="仿宋" w:hint="eastAsia"/>
          <w:color w:val="000000"/>
          <w:sz w:val="24"/>
          <w:szCs w:val="24"/>
        </w:rPr>
        <w:t>研究，把智能技术引入白酒业，实现白酒酿造智能化”，学科基于酿造系统理论，采用智能化的数据处理、挖掘方法，解析传统酿造模型。通过智能自动化、物联网和大数据等技术实现精确测量、精细生产、信息无缝共享、高效管理，优化运行、优化控制和优化管理，推进白酒产业从机械化自动化到信息化智能化的并行、融合、跨越式发展。</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2.师资队伍</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bookmarkStart w:id="2" w:name="_Toc25520497"/>
      <w:bookmarkStart w:id="3" w:name="_Toc25521200"/>
      <w:bookmarkStart w:id="4" w:name="_Toc81917337"/>
      <w:bookmarkStart w:id="5" w:name="_Toc25679684"/>
      <w:bookmarkStart w:id="6" w:name="_Toc8544"/>
      <w:bookmarkStart w:id="7" w:name="_Toc81916627"/>
      <w:bookmarkStart w:id="8" w:name="_Toc46646175"/>
      <w:bookmarkStart w:id="9" w:name="_Toc28200059"/>
      <w:bookmarkStart w:id="10" w:name="_Toc10674"/>
      <w:bookmarkStart w:id="11" w:name="_Toc22024"/>
      <w:bookmarkStart w:id="12" w:name="_Toc25521460"/>
      <w:bookmarkStart w:id="13" w:name="_Toc46997689"/>
      <w:bookmarkStart w:id="14" w:name="_Toc46646309"/>
      <w:bookmarkStart w:id="15" w:name="_Toc25680013"/>
      <w:bookmarkStart w:id="16" w:name="_Toc25520949"/>
      <w:bookmarkStart w:id="17" w:name="_Toc25661822"/>
      <w:bookmarkStart w:id="18" w:name="_Toc1634"/>
      <w:r>
        <w:rPr>
          <w:rFonts w:ascii="仿宋" w:eastAsia="仿宋" w:hAnsi="仿宋" w:cs="仿宋" w:hint="eastAsia"/>
          <w:b/>
          <w:color w:val="000000"/>
          <w:kern w:val="0"/>
          <w:sz w:val="24"/>
          <w:szCs w:val="24"/>
        </w:rPr>
        <w:t>（1）专任教师</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DD1062" w:rsidRDefault="0079676B">
      <w:pPr>
        <w:widowControl/>
        <w:spacing w:line="420" w:lineRule="exact"/>
        <w:ind w:firstLineChars="200" w:firstLine="480"/>
        <w:jc w:val="left"/>
        <w:rPr>
          <w:rFonts w:ascii="仿宋" w:eastAsia="仿宋" w:hAnsi="仿宋" w:cs="仿宋"/>
          <w:sz w:val="24"/>
          <w:szCs w:val="24"/>
        </w:rPr>
      </w:pPr>
      <w:bookmarkStart w:id="19" w:name="_Toc25661820"/>
      <w:bookmarkStart w:id="20" w:name="_Toc46646308"/>
      <w:bookmarkStart w:id="21" w:name="_Toc17854"/>
      <w:bookmarkStart w:id="22" w:name="_Toc81916626"/>
      <w:bookmarkStart w:id="23" w:name="_Toc28200057"/>
      <w:bookmarkStart w:id="24" w:name="_Toc46997688"/>
      <w:bookmarkStart w:id="25" w:name="_Toc25680011"/>
      <w:bookmarkStart w:id="26" w:name="_Toc25520495"/>
      <w:bookmarkStart w:id="27" w:name="_Toc25521458"/>
      <w:bookmarkStart w:id="28" w:name="_Toc5779"/>
      <w:bookmarkStart w:id="29" w:name="_Toc25521198"/>
      <w:bookmarkStart w:id="30" w:name="_Toc46646174"/>
      <w:bookmarkStart w:id="31" w:name="_Toc25520947"/>
      <w:bookmarkStart w:id="32" w:name="_Toc29494"/>
      <w:bookmarkStart w:id="33" w:name="_Toc25679682"/>
      <w:bookmarkStart w:id="34" w:name="_Toc81917336"/>
      <w:bookmarkStart w:id="35" w:name="_Toc11476"/>
      <w:r w:rsidRPr="0079676B">
        <w:rPr>
          <w:rFonts w:ascii="仿宋" w:eastAsia="仿宋" w:hAnsi="仿宋" w:cs="仿宋" w:hint="eastAsia"/>
          <w:sz w:val="24"/>
          <w:szCs w:val="24"/>
        </w:rPr>
        <w:t>专任教师58人，其中教授18人， 副教授14人，45岁以下人员占70.7%，博士学位79.3%;国务院特殊津贴获得者1人、四川省突贡专家1人、天府学者1人、学术和技术带头人2人、后备人选4人。</w:t>
      </w:r>
      <w:r w:rsidR="00DD1062">
        <w:rPr>
          <w:rFonts w:ascii="仿宋" w:eastAsia="仿宋" w:hAnsi="仿宋" w:cs="仿宋" w:hint="eastAsia"/>
          <w:sz w:val="24"/>
          <w:szCs w:val="24"/>
        </w:rPr>
        <w:t>年龄结构年轻化，以45岁以下导师为主体，占比62.90%，且其中89.74%以上导师具有博士学位；学历结构具有博士学位人员比例高，占比74.19%。</w:t>
      </w:r>
      <w:r w:rsidR="00DD1062">
        <w:rPr>
          <w:rFonts w:ascii="仿宋" w:eastAsia="仿宋" w:hAnsi="仿宋" w:cs="仿宋"/>
          <w:sz w:val="24"/>
          <w:szCs w:val="24"/>
        </w:rPr>
        <w:t>师资满足本学位点课程教学、论文指导、实践训练等培养环节的需要。</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（2）师德师风</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14419F" w:rsidRDefault="0014419F" w:rsidP="0014419F">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在师德师风建设方面，2020年四川轻化工大学成立了以校党委书记、校长为组长的师德师风建设工作领导小组，并下发了《四川轻化工大学关于进一步加强和改进师德师风建设的实施意见》（川轻化委〔2020〕29 号）和《四川轻化工大学教师师德失范行为负面清单及处理办法（试行）》（川轻化委〔2019〕110 号），本学位点严格执行相关制度，202</w:t>
      </w:r>
      <w:r w:rsidR="00313F75">
        <w:rPr>
          <w:rFonts w:ascii="仿宋" w:eastAsia="仿宋" w:hAnsi="仿宋" w:cs="仿宋"/>
          <w:color w:val="000000"/>
          <w:sz w:val="24"/>
          <w:szCs w:val="24"/>
        </w:rPr>
        <w:t>3</w:t>
      </w:r>
      <w:r>
        <w:rPr>
          <w:rFonts w:ascii="仿宋" w:eastAsia="仿宋" w:hAnsi="仿宋" w:cs="仿宋" w:hint="eastAsia"/>
          <w:color w:val="000000"/>
          <w:sz w:val="24"/>
          <w:szCs w:val="24"/>
        </w:rPr>
        <w:t>年度未发现任何师德师风负面问题情况。</w:t>
      </w:r>
    </w:p>
    <w:p w:rsidR="0014419F" w:rsidRDefault="0014419F" w:rsidP="00513C86">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在师德师风教育、宣传方面，202</w:t>
      </w:r>
      <w:r w:rsidR="00637181">
        <w:rPr>
          <w:rFonts w:ascii="仿宋" w:eastAsia="仿宋" w:hAnsi="仿宋" w:cs="仿宋"/>
          <w:color w:val="000000"/>
          <w:sz w:val="24"/>
          <w:szCs w:val="24"/>
        </w:rPr>
        <w:t>3</w:t>
      </w:r>
      <w:r>
        <w:rPr>
          <w:rFonts w:ascii="仿宋" w:eastAsia="仿宋" w:hAnsi="仿宋" w:cs="仿宋" w:hint="eastAsia"/>
          <w:color w:val="000000"/>
          <w:sz w:val="24"/>
          <w:szCs w:val="24"/>
        </w:rPr>
        <w:t>年度本学位点集中开展师德师风教育3次，所有研究生导师上岗前均需签订《四川轻化工大学研究生指导教师履行立德树人职责承诺书》。组织全体导师参加</w:t>
      </w:r>
      <w:r w:rsidR="00513C86" w:rsidRPr="00513C86">
        <w:rPr>
          <w:rFonts w:ascii="仿宋" w:eastAsia="仿宋" w:hAnsi="仿宋" w:cs="仿宋" w:hint="eastAsia"/>
          <w:color w:val="000000"/>
          <w:sz w:val="24"/>
          <w:szCs w:val="24"/>
        </w:rPr>
        <w:t>国家高等教育智慧教育平台</w:t>
      </w:r>
      <w:r>
        <w:rPr>
          <w:rFonts w:ascii="仿宋" w:eastAsia="仿宋" w:hAnsi="仿宋" w:cs="仿宋" w:hint="eastAsia"/>
          <w:color w:val="000000"/>
          <w:sz w:val="24"/>
          <w:szCs w:val="24"/>
        </w:rPr>
        <w:t>“</w:t>
      </w:r>
      <w:r w:rsidR="00513C86" w:rsidRPr="00513C86">
        <w:rPr>
          <w:rFonts w:ascii="仿宋" w:eastAsia="仿宋" w:hAnsi="仿宋" w:cs="仿宋" w:hint="eastAsia"/>
          <w:color w:val="000000"/>
          <w:sz w:val="24"/>
          <w:szCs w:val="24"/>
        </w:rPr>
        <w:t>2023年暑假教师研修暨师德集中学习教育</w:t>
      </w:r>
      <w:r>
        <w:rPr>
          <w:rFonts w:ascii="仿宋" w:eastAsia="仿宋" w:hAnsi="仿宋" w:cs="仿宋" w:hint="eastAsia"/>
          <w:color w:val="000000"/>
          <w:sz w:val="24"/>
          <w:szCs w:val="24"/>
        </w:rPr>
        <w:t>”线上学习1次。并通过学院OA系统、QQ工作群、微信群等多种途径，对导师进行师德师风教育。</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（3）导师遴选</w:t>
      </w:r>
    </w:p>
    <w:p w:rsidR="00654D50" w:rsidRDefault="00654D50" w:rsidP="00654D50">
      <w:pPr>
        <w:pStyle w:val="1"/>
        <w:adjustRightInd w:val="0"/>
        <w:snapToGrid w:val="0"/>
        <w:spacing w:line="420" w:lineRule="exact"/>
        <w:ind w:firstLine="480"/>
        <w:textAlignment w:val="center"/>
        <w:rPr>
          <w:rFonts w:ascii="仿宋" w:eastAsia="仿宋" w:hAnsi="仿宋" w:cs="仿宋"/>
          <w:sz w:val="24"/>
          <w:szCs w:val="24"/>
        </w:rPr>
      </w:pPr>
      <w:r>
        <w:rPr>
          <w:rFonts w:ascii="仿宋" w:eastAsia="仿宋" w:hAnsi="仿宋" w:cs="仿宋" w:hint="eastAsia"/>
          <w:color w:val="000000"/>
          <w:sz w:val="24"/>
          <w:szCs w:val="24"/>
        </w:rPr>
        <w:lastRenderedPageBreak/>
        <w:t>导师的选聘过程严格按照学校制定的《关于印发&lt;硕士研究生指导教师遴选聘</w:t>
      </w:r>
      <w:r>
        <w:rPr>
          <w:rFonts w:ascii="仿宋" w:eastAsia="仿宋" w:hAnsi="仿宋" w:cs="仿宋" w:hint="eastAsia"/>
          <w:sz w:val="24"/>
          <w:szCs w:val="24"/>
        </w:rPr>
        <w:t>任管理办法（修订）</w:t>
      </w:r>
      <w:r>
        <w:rPr>
          <w:rFonts w:ascii="仿宋" w:eastAsia="仿宋" w:hAnsi="仿宋" w:cs="仿宋"/>
          <w:sz w:val="24"/>
          <w:szCs w:val="24"/>
        </w:rPr>
        <w:t>&gt;</w:t>
      </w:r>
      <w:r>
        <w:rPr>
          <w:rFonts w:ascii="仿宋" w:eastAsia="仿宋" w:hAnsi="仿宋" w:cs="仿宋" w:hint="eastAsia"/>
          <w:sz w:val="24"/>
          <w:szCs w:val="24"/>
        </w:rPr>
        <w:t>的通知》的规定执行。学位点在202</w:t>
      </w:r>
      <w:r>
        <w:rPr>
          <w:rFonts w:ascii="仿宋" w:eastAsia="仿宋" w:hAnsi="仿宋" w:cs="仿宋"/>
          <w:sz w:val="24"/>
          <w:szCs w:val="24"/>
        </w:rPr>
        <w:t>3</w:t>
      </w:r>
      <w:r>
        <w:rPr>
          <w:rFonts w:ascii="仿宋" w:eastAsia="仿宋" w:hAnsi="仿宋" w:cs="仿宋" w:hint="eastAsia"/>
          <w:sz w:val="24"/>
          <w:szCs w:val="24"/>
        </w:rPr>
        <w:t>年6月新遴选</w:t>
      </w:r>
      <w:r w:rsidR="003C2135">
        <w:rPr>
          <w:rFonts w:ascii="仿宋" w:eastAsia="仿宋" w:hAnsi="仿宋" w:cs="仿宋"/>
          <w:sz w:val="24"/>
          <w:szCs w:val="24"/>
        </w:rPr>
        <w:t>3</w:t>
      </w:r>
      <w:r>
        <w:rPr>
          <w:rFonts w:ascii="仿宋" w:eastAsia="仿宋" w:hAnsi="仿宋" w:cs="仿宋" w:hint="eastAsia"/>
          <w:sz w:val="24"/>
          <w:szCs w:val="24"/>
        </w:rPr>
        <w:t>位硕士生导师。</w:t>
      </w:r>
    </w:p>
    <w:p w:rsidR="00654D50" w:rsidRDefault="00654D50" w:rsidP="00654D5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导师的培训制度和执行情况：学院定期召开研究生导师工作会议，对导师进行培训，认真落实《教育部关于全面落实研究生导师立德树人职责的意见》、《四川省教育厅关于全面落实研究生导师立德树人职责的实施意见》和《四川轻化工大学关于进一步加强和改进师德师风建设的实施意见》和《四川轻化工大学教师师德失范行为负面清单及处理办法（试行）》等文件的要求，确保将立德树人落到实处。实行导师责任制，导师需履行《研究生导师指导行为准则》。</w:t>
      </w:r>
    </w:p>
    <w:p w:rsidR="00654D50" w:rsidRDefault="00654D50" w:rsidP="00654D50">
      <w:pPr>
        <w:widowControl/>
        <w:spacing w:line="420" w:lineRule="exact"/>
        <w:ind w:firstLineChars="200" w:firstLine="480"/>
        <w:jc w:val="left"/>
        <w:rPr>
          <w:rFonts w:ascii="仿宋" w:eastAsia="仿宋" w:hAnsi="仿宋" w:cs="仿宋"/>
          <w:sz w:val="24"/>
          <w:szCs w:val="24"/>
        </w:rPr>
      </w:pPr>
      <w:r>
        <w:rPr>
          <w:rFonts w:ascii="仿宋" w:eastAsia="仿宋" w:hAnsi="仿宋" w:cs="仿宋" w:hint="eastAsia"/>
          <w:color w:val="000000"/>
          <w:sz w:val="24"/>
          <w:szCs w:val="24"/>
        </w:rPr>
        <w:t>导师的考核制度和执行情况：导师的考核主要依据《四川轻化工大学关于印发《硕士研究生指导教师管理与考核办法（试行）》的通知》、《四川轻化工大学关</w:t>
      </w:r>
      <w:r>
        <w:rPr>
          <w:rFonts w:ascii="仿宋" w:eastAsia="仿宋" w:hAnsi="仿宋" w:cs="仿宋" w:hint="eastAsia"/>
          <w:sz w:val="24"/>
          <w:szCs w:val="24"/>
        </w:rPr>
        <w:t>于印发《四川轻化工大学优秀研究生指导教师评选办法》的通知》执行。202</w:t>
      </w:r>
      <w:r w:rsidR="00945210">
        <w:rPr>
          <w:rFonts w:ascii="仿宋" w:eastAsia="仿宋" w:hAnsi="仿宋" w:cs="仿宋"/>
          <w:sz w:val="24"/>
          <w:szCs w:val="24"/>
        </w:rPr>
        <w:t>3</w:t>
      </w:r>
      <w:r>
        <w:rPr>
          <w:rFonts w:ascii="仿宋" w:eastAsia="仿宋" w:hAnsi="仿宋" w:cs="仿宋" w:hint="eastAsia"/>
          <w:sz w:val="24"/>
          <w:szCs w:val="24"/>
        </w:rPr>
        <w:t>年，所有上岗导师的考核均为合格，其中3位导师老师被评为202</w:t>
      </w:r>
      <w:r w:rsidR="00945210">
        <w:rPr>
          <w:rFonts w:ascii="仿宋" w:eastAsia="仿宋" w:hAnsi="仿宋" w:cs="仿宋"/>
          <w:sz w:val="24"/>
          <w:szCs w:val="24"/>
        </w:rPr>
        <w:t>3</w:t>
      </w:r>
      <w:r>
        <w:rPr>
          <w:rFonts w:ascii="仿宋" w:eastAsia="仿宋" w:hAnsi="仿宋" w:cs="仿宋" w:hint="eastAsia"/>
          <w:sz w:val="24"/>
          <w:szCs w:val="24"/>
        </w:rPr>
        <w:t>年度四川轻化工大学优秀研究生指导教师。</w:t>
      </w:r>
    </w:p>
    <w:p w:rsidR="002B6756" w:rsidRDefault="00000000" w:rsidP="00654D5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3.科学研究</w:t>
      </w:r>
    </w:p>
    <w:p w:rsidR="00D62052" w:rsidRDefault="00D62052" w:rsidP="00D62052">
      <w:pPr>
        <w:pStyle w:val="1"/>
        <w:adjustRightInd w:val="0"/>
        <w:snapToGrid w:val="0"/>
        <w:spacing w:line="420" w:lineRule="exact"/>
        <w:ind w:firstLine="480"/>
        <w:textAlignment w:val="center"/>
        <w:rPr>
          <w:rFonts w:ascii="仿宋" w:eastAsia="仿宋" w:hAnsi="仿宋" w:cs="仿宋"/>
          <w:sz w:val="24"/>
          <w:szCs w:val="24"/>
        </w:rPr>
      </w:pPr>
      <w:r w:rsidRPr="00FF5DD3">
        <w:rPr>
          <w:rFonts w:ascii="仿宋" w:eastAsia="仿宋" w:hAnsi="仿宋" w:cs="仿宋" w:hint="eastAsia"/>
          <w:sz w:val="24"/>
          <w:szCs w:val="24"/>
        </w:rPr>
        <w:t>2</w:t>
      </w:r>
      <w:r w:rsidRPr="00FF5DD3">
        <w:rPr>
          <w:rFonts w:ascii="仿宋" w:eastAsia="仿宋" w:hAnsi="仿宋" w:cs="仿宋"/>
          <w:sz w:val="24"/>
          <w:szCs w:val="24"/>
        </w:rPr>
        <w:t>023</w:t>
      </w:r>
      <w:r w:rsidRPr="00FF5DD3">
        <w:rPr>
          <w:rFonts w:ascii="仿宋" w:eastAsia="仿宋" w:hAnsi="仿宋" w:cs="仿宋" w:hint="eastAsia"/>
          <w:sz w:val="24"/>
          <w:szCs w:val="24"/>
        </w:rPr>
        <w:t>年，本学位点新增立项国家级项目</w:t>
      </w:r>
      <w:r w:rsidR="00FF5DD3">
        <w:rPr>
          <w:rFonts w:ascii="仿宋" w:eastAsia="仿宋" w:hAnsi="仿宋" w:cs="仿宋"/>
          <w:sz w:val="24"/>
          <w:szCs w:val="24"/>
        </w:rPr>
        <w:t>1</w:t>
      </w:r>
      <w:r w:rsidRPr="00FF5DD3">
        <w:rPr>
          <w:rFonts w:ascii="仿宋" w:eastAsia="仿宋" w:hAnsi="仿宋" w:cs="仿宋" w:hint="eastAsia"/>
          <w:sz w:val="24"/>
          <w:szCs w:val="24"/>
        </w:rPr>
        <w:t>项，新增省部级项目</w:t>
      </w:r>
      <w:r w:rsidRPr="00FF5DD3">
        <w:rPr>
          <w:rFonts w:ascii="仿宋" w:eastAsia="仿宋" w:hAnsi="仿宋" w:cs="仿宋"/>
          <w:sz w:val="24"/>
          <w:szCs w:val="24"/>
        </w:rPr>
        <w:t>1</w:t>
      </w:r>
      <w:r w:rsidR="00B77E19">
        <w:rPr>
          <w:rFonts w:ascii="仿宋" w:eastAsia="仿宋" w:hAnsi="仿宋" w:cs="仿宋"/>
          <w:sz w:val="24"/>
          <w:szCs w:val="24"/>
        </w:rPr>
        <w:t>3</w:t>
      </w:r>
      <w:r w:rsidRPr="00FF5DD3">
        <w:rPr>
          <w:rFonts w:ascii="仿宋" w:eastAsia="仿宋" w:hAnsi="仿宋" w:cs="仿宋" w:hint="eastAsia"/>
          <w:sz w:val="24"/>
          <w:szCs w:val="24"/>
        </w:rPr>
        <w:t>项，横向课题</w:t>
      </w:r>
      <w:r w:rsidR="00FF5DD3">
        <w:rPr>
          <w:rFonts w:ascii="仿宋" w:eastAsia="仿宋" w:hAnsi="仿宋" w:cs="仿宋"/>
          <w:sz w:val="24"/>
          <w:szCs w:val="24"/>
        </w:rPr>
        <w:t>15</w:t>
      </w:r>
      <w:r w:rsidRPr="00FF5DD3">
        <w:rPr>
          <w:rFonts w:ascii="仿宋" w:eastAsia="仿宋" w:hAnsi="仿宋" w:cs="仿宋" w:hint="eastAsia"/>
          <w:sz w:val="24"/>
          <w:szCs w:val="24"/>
        </w:rPr>
        <w:t>项。发表论文1</w:t>
      </w:r>
      <w:r w:rsidR="00E31592">
        <w:rPr>
          <w:rFonts w:ascii="仿宋" w:eastAsia="仿宋" w:hAnsi="仿宋" w:cs="仿宋"/>
          <w:sz w:val="24"/>
          <w:szCs w:val="24"/>
        </w:rPr>
        <w:t>63</w:t>
      </w:r>
      <w:r w:rsidRPr="00FF5DD3">
        <w:rPr>
          <w:rFonts w:ascii="仿宋" w:eastAsia="仿宋" w:hAnsi="仿宋" w:cs="仿宋" w:hint="eastAsia"/>
          <w:sz w:val="24"/>
          <w:szCs w:val="24"/>
        </w:rPr>
        <w:t>篇，其中</w:t>
      </w:r>
      <w:r w:rsidRPr="00FF5DD3">
        <w:rPr>
          <w:rFonts w:ascii="仿宋" w:eastAsia="仿宋" w:hAnsi="仿宋" w:cs="仿宋"/>
          <w:sz w:val="24"/>
          <w:szCs w:val="24"/>
        </w:rPr>
        <w:t>SCI</w:t>
      </w:r>
      <w:r w:rsidRPr="00FF5DD3">
        <w:rPr>
          <w:rFonts w:ascii="仿宋" w:eastAsia="仿宋" w:hAnsi="仿宋" w:cs="仿宋" w:hint="eastAsia"/>
          <w:sz w:val="24"/>
          <w:szCs w:val="24"/>
        </w:rPr>
        <w:t>论文</w:t>
      </w:r>
      <w:r w:rsidR="00E31592">
        <w:rPr>
          <w:rFonts w:ascii="仿宋" w:eastAsia="仿宋" w:hAnsi="仿宋" w:cs="仿宋"/>
          <w:sz w:val="24"/>
          <w:szCs w:val="24"/>
        </w:rPr>
        <w:t>5</w:t>
      </w:r>
      <w:r w:rsidRPr="00FF5DD3">
        <w:rPr>
          <w:rFonts w:ascii="仿宋" w:eastAsia="仿宋" w:hAnsi="仿宋" w:cs="仿宋" w:hint="eastAsia"/>
          <w:sz w:val="24"/>
          <w:szCs w:val="24"/>
        </w:rPr>
        <w:t>9篇，一区论文</w:t>
      </w:r>
      <w:r w:rsidRPr="00FF5DD3">
        <w:rPr>
          <w:rFonts w:ascii="仿宋" w:eastAsia="仿宋" w:hAnsi="仿宋" w:cs="仿宋"/>
          <w:sz w:val="24"/>
          <w:szCs w:val="24"/>
        </w:rPr>
        <w:t>1</w:t>
      </w:r>
      <w:r w:rsidR="00E31592">
        <w:rPr>
          <w:rFonts w:ascii="仿宋" w:eastAsia="仿宋" w:hAnsi="仿宋" w:cs="仿宋"/>
          <w:sz w:val="24"/>
          <w:szCs w:val="24"/>
        </w:rPr>
        <w:t>3</w:t>
      </w:r>
      <w:r w:rsidRPr="00FF5DD3">
        <w:rPr>
          <w:rFonts w:ascii="仿宋" w:eastAsia="仿宋" w:hAnsi="仿宋" w:cs="仿宋" w:hint="eastAsia"/>
          <w:sz w:val="24"/>
          <w:szCs w:val="24"/>
        </w:rPr>
        <w:t>篇，二区论文</w:t>
      </w:r>
      <w:r w:rsidR="00E31592">
        <w:rPr>
          <w:rFonts w:ascii="仿宋" w:eastAsia="仿宋" w:hAnsi="仿宋" w:cs="仿宋"/>
          <w:sz w:val="24"/>
          <w:szCs w:val="24"/>
        </w:rPr>
        <w:t>26</w:t>
      </w:r>
      <w:r w:rsidRPr="00FF5DD3">
        <w:rPr>
          <w:rFonts w:ascii="仿宋" w:eastAsia="仿宋" w:hAnsi="仿宋" w:cs="仿宋" w:hint="eastAsia"/>
          <w:sz w:val="24"/>
          <w:szCs w:val="24"/>
        </w:rPr>
        <w:t>篇。在授权发明专利方面，本学位点在2</w:t>
      </w:r>
      <w:r w:rsidRPr="00FF5DD3">
        <w:rPr>
          <w:rFonts w:ascii="仿宋" w:eastAsia="仿宋" w:hAnsi="仿宋" w:cs="仿宋"/>
          <w:sz w:val="24"/>
          <w:szCs w:val="24"/>
        </w:rPr>
        <w:t>02</w:t>
      </w:r>
      <w:r w:rsidR="00FF5DD3" w:rsidRPr="00FF5DD3">
        <w:rPr>
          <w:rFonts w:ascii="仿宋" w:eastAsia="仿宋" w:hAnsi="仿宋" w:cs="仿宋"/>
          <w:sz w:val="24"/>
          <w:szCs w:val="24"/>
        </w:rPr>
        <w:t>3</w:t>
      </w:r>
      <w:r w:rsidRPr="00FF5DD3">
        <w:rPr>
          <w:rFonts w:ascii="仿宋" w:eastAsia="仿宋" w:hAnsi="仿宋" w:cs="仿宋" w:hint="eastAsia"/>
          <w:sz w:val="24"/>
          <w:szCs w:val="24"/>
        </w:rPr>
        <w:t>年获授权发明专利2</w:t>
      </w:r>
      <w:r w:rsidR="00127CF9">
        <w:rPr>
          <w:rFonts w:ascii="仿宋" w:eastAsia="仿宋" w:hAnsi="仿宋" w:cs="仿宋"/>
          <w:sz w:val="24"/>
          <w:szCs w:val="24"/>
        </w:rPr>
        <w:t>1</w:t>
      </w:r>
      <w:r w:rsidRPr="00FF5DD3">
        <w:rPr>
          <w:rFonts w:ascii="仿宋" w:eastAsia="仿宋" w:hAnsi="仿宋" w:cs="仿宋" w:hint="eastAsia"/>
          <w:sz w:val="24"/>
          <w:szCs w:val="24"/>
        </w:rPr>
        <w:t>项。202</w:t>
      </w:r>
      <w:r w:rsidR="00FF5DD3" w:rsidRPr="00FF5DD3">
        <w:rPr>
          <w:rFonts w:ascii="仿宋" w:eastAsia="仿宋" w:hAnsi="仿宋" w:cs="仿宋"/>
          <w:sz w:val="24"/>
          <w:szCs w:val="24"/>
        </w:rPr>
        <w:t>3</w:t>
      </w:r>
      <w:r w:rsidRPr="00FF5DD3">
        <w:rPr>
          <w:rFonts w:ascii="仿宋" w:eastAsia="仿宋" w:hAnsi="仿宋" w:cs="仿宋" w:hint="eastAsia"/>
          <w:sz w:val="24"/>
          <w:szCs w:val="24"/>
        </w:rPr>
        <w:t>年，获</w:t>
      </w:r>
      <w:r w:rsidR="00985CBB">
        <w:rPr>
          <w:rFonts w:ascii="仿宋" w:eastAsia="仿宋" w:hAnsi="仿宋" w:cs="仿宋" w:hint="eastAsia"/>
          <w:sz w:val="24"/>
          <w:szCs w:val="24"/>
        </w:rPr>
        <w:t>省部级科技奖二等奖2</w:t>
      </w:r>
      <w:r w:rsidRPr="00FF5DD3">
        <w:rPr>
          <w:rFonts w:ascii="仿宋" w:eastAsia="仿宋" w:hAnsi="仿宋" w:cs="仿宋" w:hint="eastAsia"/>
          <w:sz w:val="24"/>
          <w:szCs w:val="24"/>
        </w:rPr>
        <w:t>项</w:t>
      </w:r>
      <w:r w:rsidR="00985CBB">
        <w:rPr>
          <w:rFonts w:ascii="仿宋" w:eastAsia="仿宋" w:hAnsi="仿宋" w:cs="仿宋" w:hint="eastAsia"/>
          <w:sz w:val="24"/>
          <w:szCs w:val="24"/>
        </w:rPr>
        <w:t>、一等奖1项</w:t>
      </w:r>
      <w:r w:rsidRPr="00FF5DD3">
        <w:rPr>
          <w:rFonts w:ascii="仿宋" w:eastAsia="仿宋" w:hAnsi="仿宋" w:cs="仿宋" w:hint="eastAsia"/>
          <w:sz w:val="24"/>
          <w:szCs w:val="24"/>
        </w:rPr>
        <w:t>。</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4.教学科研支撑</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bookmarkStart w:id="36" w:name="_Toc69824939"/>
      <w:bookmarkStart w:id="37" w:name="_Toc67060088"/>
      <w:r>
        <w:rPr>
          <w:rFonts w:ascii="仿宋" w:eastAsia="仿宋" w:hAnsi="仿宋" w:cs="仿宋" w:hint="eastAsia"/>
          <w:b/>
          <w:color w:val="000000"/>
          <w:kern w:val="0"/>
          <w:sz w:val="24"/>
          <w:szCs w:val="24"/>
        </w:rPr>
        <w:t>（1）</w:t>
      </w:r>
      <w:bookmarkEnd w:id="36"/>
      <w:bookmarkEnd w:id="37"/>
      <w:r>
        <w:rPr>
          <w:rFonts w:ascii="仿宋" w:eastAsia="仿宋" w:hAnsi="仿宋" w:cs="仿宋" w:hint="eastAsia"/>
          <w:b/>
          <w:color w:val="000000"/>
          <w:kern w:val="0"/>
          <w:sz w:val="24"/>
          <w:szCs w:val="24"/>
        </w:rPr>
        <w:t>教学科研基础条件</w:t>
      </w:r>
    </w:p>
    <w:p w:rsidR="004F3833" w:rsidRDefault="004F3833" w:rsidP="004F3833">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sz w:val="24"/>
          <w:szCs w:val="24"/>
        </w:rPr>
        <w:t>具有研究生教学多媒体教室2</w:t>
      </w:r>
      <w:r>
        <w:rPr>
          <w:rFonts w:ascii="仿宋" w:eastAsia="仿宋" w:hAnsi="仿宋" w:cs="仿宋"/>
          <w:sz w:val="24"/>
          <w:szCs w:val="24"/>
        </w:rPr>
        <w:t>0</w:t>
      </w:r>
      <w:r>
        <w:rPr>
          <w:rFonts w:ascii="仿宋" w:eastAsia="仿宋" w:hAnsi="仿宋" w:cs="仿宋" w:hint="eastAsia"/>
          <w:sz w:val="24"/>
          <w:szCs w:val="24"/>
        </w:rPr>
        <w:t>余间，供研究生教学课程专用。具有专业科研实验室约16500平方米，用于导师和研究生开展论文科研工作使用。具有食品科学与工程学科相关的科研设备，包括6</w:t>
      </w:r>
      <w:r>
        <w:rPr>
          <w:rFonts w:ascii="仿宋" w:eastAsia="仿宋" w:hAnsi="仿宋" w:cs="仿宋"/>
          <w:sz w:val="24"/>
          <w:szCs w:val="24"/>
        </w:rPr>
        <w:t>00M</w:t>
      </w:r>
      <w:r>
        <w:rPr>
          <w:rFonts w:ascii="仿宋" w:eastAsia="仿宋" w:hAnsi="仿宋" w:cs="仿宋" w:hint="eastAsia"/>
          <w:sz w:val="24"/>
          <w:szCs w:val="24"/>
        </w:rPr>
        <w:t>核磁共振、液质联用仪、气质联用仪、高通量测序仪等大型仪器设备，可为食品科学与工程专业硕士的培养提供先进的教学科研条件</w:t>
      </w:r>
      <w:r>
        <w:rPr>
          <w:rFonts w:ascii="仿宋" w:eastAsia="仿宋" w:hAnsi="仿宋" w:cs="仿宋" w:hint="eastAsia"/>
          <w:color w:val="000000"/>
          <w:sz w:val="24"/>
          <w:szCs w:val="24"/>
        </w:rPr>
        <w:t>。</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（2）网络、图书资源</w:t>
      </w:r>
    </w:p>
    <w:p w:rsidR="004F3833" w:rsidRDefault="004F3833">
      <w:pPr>
        <w:widowControl/>
        <w:spacing w:line="420" w:lineRule="exact"/>
        <w:ind w:firstLineChars="200" w:firstLine="480"/>
        <w:jc w:val="left"/>
        <w:rPr>
          <w:rFonts w:ascii="仿宋" w:eastAsia="仿宋" w:hAnsi="仿宋" w:cs="仿宋"/>
          <w:color w:val="000000"/>
          <w:sz w:val="24"/>
          <w:szCs w:val="24"/>
        </w:rPr>
      </w:pPr>
      <w:bookmarkStart w:id="38" w:name="_Toc67060089"/>
      <w:bookmarkStart w:id="39" w:name="_Toc69824940"/>
      <w:r>
        <w:rPr>
          <w:rFonts w:ascii="仿宋" w:eastAsia="仿宋" w:hAnsi="仿宋" w:cs="仿宋" w:hint="eastAsia"/>
          <w:color w:val="000000"/>
          <w:sz w:val="24"/>
          <w:szCs w:val="24"/>
        </w:rPr>
        <w:t>本学位点有较丰富的、满足教学需要的中外文专业图书资料和数字化资源。每个研究生均配有登录账号，方便研究生在校内和校外使用。图书馆馆藏纸质文献301万余册，电子图书 140 万余册；购买了国内外数据库120多个（含字库），其中中文数据库91个，外文数据库31个，如中国学术期刊全文数据库、中国博、硕士学位论文全文数据库、万方数据平台、维普资讯、超星数字图书馆、Elsevier ScienceDirect、EBSCO、SCIE等，折合电子图书106万册、电子期刊105万册、</w:t>
      </w:r>
      <w:r>
        <w:rPr>
          <w:rFonts w:ascii="仿宋" w:eastAsia="仿宋" w:hAnsi="仿宋" w:cs="仿宋" w:hint="eastAsia"/>
          <w:color w:val="000000"/>
          <w:sz w:val="24"/>
          <w:szCs w:val="24"/>
        </w:rPr>
        <w:lastRenderedPageBreak/>
        <w:t>学位论文959万篇。此外，根据我校学科特色，自建特色数据库10个，如中国盐文化数据库、酿酒特色数据库等，保障了研究生教育和培养的基本条件</w:t>
      </w:r>
      <w:r w:rsidR="002473AB">
        <w:rPr>
          <w:rFonts w:ascii="仿宋" w:eastAsia="仿宋" w:hAnsi="仿宋" w:cs="仿宋" w:hint="eastAsia"/>
          <w:color w:val="000000"/>
          <w:sz w:val="24"/>
          <w:szCs w:val="24"/>
        </w:rPr>
        <w:t>。</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（3）教学/科研平台</w:t>
      </w:r>
    </w:p>
    <w:bookmarkEnd w:id="38"/>
    <w:bookmarkEnd w:id="39"/>
    <w:p w:rsidR="002473AB" w:rsidRDefault="002473AB" w:rsidP="002473AB">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本学位点依托“固态酿造国家级工程实践教育中心”国家级平台和“酿酒生物技术及应用四川省重点实验室”、“固态酿造关键技术研究四川省院士（专家）工作站”、“四川省酿酒专用粮工程技术研究中心”、“四川省固态酿造博士后创新实践基地”、“食品质量与安全省级协同创新中心”、“传统酿酒产业改造升级四川省协同创新中心培育基地”12个省部级平台。对研究生的培养起到了重要的支撑作用。</w:t>
      </w:r>
    </w:p>
    <w:p w:rsidR="002473AB" w:rsidRDefault="002473AB" w:rsidP="002473AB">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具有能满足需要的“产学研用”实践基地。学校已在宜宾五粮液集团有限公司、泸州老窖股份有限公司、成都希望食品有限公司、四川省食品发酵工业研究设计院等多家知名企业和科研院所建立了实践基地，每年可接纳实践学生人数80人。</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5.奖助体系</w:t>
      </w:r>
    </w:p>
    <w:p w:rsidR="00605B5F" w:rsidRDefault="00605B5F" w:rsidP="00605B5F">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color w:val="000000"/>
          <w:sz w:val="24"/>
          <w:szCs w:val="24"/>
        </w:rPr>
        <w:t>建立了完善的硕士研究生奖助体系</w:t>
      </w:r>
      <w:r>
        <w:rPr>
          <w:rFonts w:ascii="仿宋" w:eastAsia="仿宋" w:hAnsi="仿宋" w:cs="仿宋" w:hint="eastAsia"/>
          <w:color w:val="000000"/>
          <w:sz w:val="24"/>
          <w:szCs w:val="24"/>
        </w:rPr>
        <w:t>，工作中严格按照</w:t>
      </w:r>
      <w:r>
        <w:rPr>
          <w:rFonts w:ascii="仿宋" w:eastAsia="仿宋" w:hAnsi="仿宋" w:cs="仿宋" w:hint="eastAsia"/>
          <w:sz w:val="24"/>
          <w:szCs w:val="24"/>
        </w:rPr>
        <w:t>《四川轻化工大学关于印发&lt;研究生助学金、国家奖学金、学业奖学金实施细则&gt;的通知》</w:t>
      </w:r>
      <w:r>
        <w:rPr>
          <w:rFonts w:ascii="仿宋" w:eastAsia="仿宋" w:hAnsi="仿宋" w:cs="仿宋"/>
          <w:sz w:val="24"/>
          <w:szCs w:val="24"/>
        </w:rPr>
        <w:t>、</w:t>
      </w:r>
      <w:r>
        <w:rPr>
          <w:rFonts w:ascii="仿宋" w:eastAsia="仿宋" w:hAnsi="仿宋" w:cs="仿宋" w:hint="eastAsia"/>
          <w:sz w:val="24"/>
          <w:szCs w:val="24"/>
        </w:rPr>
        <w:t>《四川轻化工大学研究生“三助一辅”工作管理办法》</w:t>
      </w:r>
      <w:r>
        <w:rPr>
          <w:rFonts w:ascii="仿宋" w:eastAsia="仿宋" w:hAnsi="仿宋" w:cs="仿宋"/>
          <w:color w:val="000000"/>
          <w:sz w:val="24"/>
          <w:szCs w:val="24"/>
        </w:rPr>
        <w:t>等一系列制度</w:t>
      </w:r>
      <w:r>
        <w:rPr>
          <w:rFonts w:ascii="仿宋" w:eastAsia="仿宋" w:hAnsi="仿宋" w:cs="仿宋" w:hint="eastAsia"/>
          <w:color w:val="000000"/>
          <w:sz w:val="24"/>
          <w:szCs w:val="24"/>
        </w:rPr>
        <w:t>的要求执行</w:t>
      </w:r>
      <w:r>
        <w:rPr>
          <w:rFonts w:ascii="仿宋" w:eastAsia="仿宋" w:hAnsi="仿宋" w:cs="仿宋"/>
          <w:color w:val="000000"/>
          <w:sz w:val="24"/>
          <w:szCs w:val="24"/>
        </w:rPr>
        <w:t>。配合学校制度要求，学院制定了《四川轻化工大学</w:t>
      </w:r>
      <w:r>
        <w:rPr>
          <w:rFonts w:ascii="仿宋" w:eastAsia="仿宋" w:hAnsi="仿宋" w:cs="仿宋" w:hint="eastAsia"/>
          <w:color w:val="000000"/>
          <w:sz w:val="24"/>
          <w:szCs w:val="24"/>
        </w:rPr>
        <w:t>生物</w:t>
      </w:r>
      <w:r>
        <w:rPr>
          <w:rFonts w:ascii="仿宋" w:eastAsia="仿宋" w:hAnsi="仿宋" w:cs="仿宋"/>
          <w:color w:val="000000"/>
          <w:sz w:val="24"/>
          <w:szCs w:val="24"/>
        </w:rPr>
        <w:t>工程学院国家奖学金评审实施细则》、《</w:t>
      </w:r>
      <w:r>
        <w:rPr>
          <w:rFonts w:ascii="仿宋" w:eastAsia="仿宋" w:hAnsi="仿宋" w:cs="仿宋" w:hint="eastAsia"/>
          <w:color w:val="000000"/>
          <w:sz w:val="24"/>
          <w:szCs w:val="24"/>
        </w:rPr>
        <w:t>生物</w:t>
      </w:r>
      <w:r>
        <w:rPr>
          <w:rFonts w:ascii="仿宋" w:eastAsia="仿宋" w:hAnsi="仿宋" w:cs="仿宋"/>
          <w:color w:val="000000"/>
          <w:sz w:val="24"/>
          <w:szCs w:val="24"/>
        </w:rPr>
        <w:t>工程学院研究生助学金实施细则》、《</w:t>
      </w:r>
      <w:r>
        <w:rPr>
          <w:rFonts w:ascii="仿宋" w:eastAsia="仿宋" w:hAnsi="仿宋" w:cs="仿宋" w:hint="eastAsia"/>
          <w:color w:val="000000"/>
          <w:sz w:val="24"/>
          <w:szCs w:val="24"/>
        </w:rPr>
        <w:t>生物</w:t>
      </w:r>
      <w:r>
        <w:rPr>
          <w:rFonts w:ascii="仿宋" w:eastAsia="仿宋" w:hAnsi="仿宋" w:cs="仿宋"/>
          <w:color w:val="000000"/>
          <w:sz w:val="24"/>
          <w:szCs w:val="24"/>
        </w:rPr>
        <w:t>工程学院研究生学业奖学金评定实施细则》、《</w:t>
      </w:r>
      <w:r>
        <w:rPr>
          <w:rFonts w:ascii="仿宋" w:eastAsia="仿宋" w:hAnsi="仿宋" w:cs="仿宋" w:hint="eastAsia"/>
          <w:color w:val="000000"/>
          <w:sz w:val="24"/>
          <w:szCs w:val="24"/>
        </w:rPr>
        <w:t>生物</w:t>
      </w:r>
      <w:r>
        <w:rPr>
          <w:rFonts w:ascii="仿宋" w:eastAsia="仿宋" w:hAnsi="仿宋" w:cs="仿宋"/>
          <w:color w:val="000000"/>
          <w:sz w:val="24"/>
          <w:szCs w:val="24"/>
        </w:rPr>
        <w:t>工程学院“</w:t>
      </w:r>
      <w:r>
        <w:rPr>
          <w:rFonts w:ascii="仿宋" w:eastAsia="仿宋" w:hAnsi="仿宋" w:cs="仿宋" w:hint="eastAsia"/>
          <w:color w:val="000000"/>
          <w:sz w:val="24"/>
          <w:szCs w:val="24"/>
        </w:rPr>
        <w:t>五粮液</w:t>
      </w:r>
      <w:r>
        <w:rPr>
          <w:rFonts w:ascii="仿宋" w:eastAsia="仿宋" w:hAnsi="仿宋" w:cs="仿宋"/>
          <w:color w:val="000000"/>
          <w:sz w:val="24"/>
          <w:szCs w:val="24"/>
        </w:rPr>
        <w:t>”奖</w:t>
      </w:r>
      <w:r>
        <w:rPr>
          <w:rFonts w:ascii="仿宋" w:eastAsia="仿宋" w:hAnsi="仿宋" w:cs="仿宋" w:hint="eastAsia"/>
          <w:color w:val="000000"/>
          <w:sz w:val="24"/>
          <w:szCs w:val="24"/>
        </w:rPr>
        <w:t>、助</w:t>
      </w:r>
      <w:r>
        <w:rPr>
          <w:rFonts w:ascii="仿宋" w:eastAsia="仿宋" w:hAnsi="仿宋" w:cs="仿宋"/>
          <w:color w:val="000000"/>
          <w:sz w:val="24"/>
          <w:szCs w:val="24"/>
        </w:rPr>
        <w:t>学金评定实施细则》等制度性文件，为公平、公开、公正地评审各种奖学金、助学金提供依据，为激励研究生勤奋学习、潜心研究和完成学业提供了保障。</w:t>
      </w:r>
    </w:p>
    <w:p w:rsidR="00605B5F" w:rsidRDefault="00605B5F" w:rsidP="00605B5F">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本学位点目前设立有国家奖学金、学业奖学金和助学金，并根据需要设置科研助理，确保学生学业的正常开展。此外，通过与企业的产教融合合作，设置了五粮液奖学金和五粮液励志奖学金、丁点奖学金等企业奖学金。</w:t>
      </w:r>
    </w:p>
    <w:p w:rsidR="00605B5F" w:rsidRDefault="00605B5F" w:rsidP="00605B5F">
      <w:pPr>
        <w:widowControl/>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奖助水平与覆盖面：</w:t>
      </w:r>
      <w:bookmarkStart w:id="40" w:name="_Hlk150335136"/>
      <w:r>
        <w:rPr>
          <w:rFonts w:ascii="仿宋" w:eastAsia="仿宋" w:hAnsi="仿宋" w:cs="仿宋" w:hint="eastAsia"/>
          <w:sz w:val="24"/>
          <w:szCs w:val="24"/>
        </w:rPr>
        <w:t>国家奖学金20000元/人，覆盖率3.8 %</w:t>
      </w:r>
      <w:bookmarkEnd w:id="40"/>
      <w:r>
        <w:rPr>
          <w:rFonts w:ascii="仿宋" w:eastAsia="仿宋" w:hAnsi="仿宋" w:cs="仿宋" w:hint="eastAsia"/>
          <w:sz w:val="24"/>
          <w:szCs w:val="24"/>
        </w:rPr>
        <w:t>；学业奖学金6000-10000元不等，覆盖率为34.3%左右；助学金全日制无工资收入学生覆盖率为100%。</w:t>
      </w:r>
    </w:p>
    <w:p w:rsidR="002B6756" w:rsidRDefault="00000000">
      <w:pPr>
        <w:widowControl/>
        <w:spacing w:line="420" w:lineRule="exact"/>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三、人才培养 </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1.招生选拔</w:t>
      </w:r>
    </w:p>
    <w:p w:rsidR="002B6756" w:rsidRPr="009E31D5" w:rsidRDefault="009E31D5" w:rsidP="00EF2AD1">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color w:val="000000"/>
          <w:sz w:val="24"/>
          <w:szCs w:val="24"/>
        </w:rPr>
        <w:t>为吸引生源，利用招生网站、微博、微信等网络媒体以及到各地驻点宣传等方式开展招生宣传工作，并制定了一系列激励制度。</w:t>
      </w:r>
      <w:r>
        <w:rPr>
          <w:rFonts w:ascii="仿宋" w:eastAsia="仿宋" w:hAnsi="仿宋" w:cs="仿宋" w:hint="eastAsia"/>
          <w:color w:val="000000"/>
          <w:sz w:val="24"/>
          <w:szCs w:val="24"/>
        </w:rPr>
        <w:t>本学位点为了招收优质生源，开展了“生物工程学院暑期夏令营活动”，让本科生了解本学位点的情况，以及</w:t>
      </w:r>
      <w:r>
        <w:rPr>
          <w:rFonts w:ascii="仿宋" w:eastAsia="仿宋" w:hAnsi="仿宋" w:cs="仿宋" w:hint="eastAsia"/>
          <w:color w:val="000000"/>
          <w:sz w:val="24"/>
          <w:szCs w:val="24"/>
        </w:rPr>
        <w:lastRenderedPageBreak/>
        <w:t>各位导师的科研方向，起到了积极的作用。在选拔过程中，</w:t>
      </w:r>
      <w:r>
        <w:rPr>
          <w:rFonts w:ascii="仿宋" w:eastAsia="仿宋" w:hAnsi="仿宋" w:cs="仿宋"/>
          <w:color w:val="000000"/>
          <w:sz w:val="24"/>
          <w:szCs w:val="24"/>
        </w:rPr>
        <w:t>严格按照学校硕士研究生招生录取办法，按要求和程序开展硕士研究生的复试及选拔工作，择优录取，</w:t>
      </w:r>
      <w:r>
        <w:rPr>
          <w:rFonts w:ascii="仿宋" w:eastAsia="仿宋" w:hAnsi="仿宋" w:cs="仿宋" w:hint="eastAsia"/>
          <w:color w:val="000000"/>
          <w:sz w:val="24"/>
          <w:szCs w:val="24"/>
        </w:rPr>
        <w:t>招收新生1</w:t>
      </w:r>
      <w:r w:rsidR="00332678">
        <w:rPr>
          <w:rFonts w:ascii="仿宋" w:eastAsia="仿宋" w:hAnsi="仿宋" w:cs="仿宋"/>
          <w:color w:val="000000"/>
          <w:sz w:val="24"/>
          <w:szCs w:val="24"/>
        </w:rPr>
        <w:t>7</w:t>
      </w:r>
      <w:r>
        <w:rPr>
          <w:rFonts w:ascii="仿宋" w:eastAsia="仿宋" w:hAnsi="仿宋" w:cs="仿宋" w:hint="eastAsia"/>
          <w:color w:val="000000"/>
          <w:sz w:val="24"/>
          <w:szCs w:val="24"/>
        </w:rPr>
        <w:t>人，</w:t>
      </w:r>
      <w:r>
        <w:rPr>
          <w:rFonts w:ascii="仿宋" w:eastAsia="仿宋" w:hAnsi="仿宋" w:cs="仿宋"/>
          <w:color w:val="000000"/>
          <w:sz w:val="24"/>
          <w:szCs w:val="24"/>
        </w:rPr>
        <w:t>学位授权点报名人数逐年增加。</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2.党建和思政教育</w:t>
      </w:r>
    </w:p>
    <w:p w:rsidR="00E34FED" w:rsidRDefault="00E34FED" w:rsidP="00E34FED">
      <w:pPr>
        <w:widowControl/>
        <w:spacing w:line="4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本学位点开设有《中国特色社会主义理论与实践研究》、《自然辨证法概论》和《马克思主义与社会科学方法论》思想政治理论课程，并积极建设具有学科特色的课程思政体系。</w:t>
      </w:r>
    </w:p>
    <w:p w:rsidR="00E34FED" w:rsidRDefault="00E34FED" w:rsidP="00E34FED">
      <w:pPr>
        <w:widowControl/>
        <w:spacing w:line="4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学位点设有学科建设与研究生工作办公室，配备办公室主任1名，研究生秘书1名；配备</w:t>
      </w:r>
      <w:r w:rsidR="00D639EE">
        <w:rPr>
          <w:rFonts w:ascii="仿宋" w:eastAsia="仿宋" w:hAnsi="仿宋" w:cs="仿宋"/>
          <w:color w:val="000000"/>
          <w:sz w:val="24"/>
          <w:szCs w:val="24"/>
        </w:rPr>
        <w:t>3</w:t>
      </w:r>
      <w:r>
        <w:rPr>
          <w:rFonts w:ascii="仿宋" w:eastAsia="仿宋" w:hAnsi="仿宋" w:cs="仿宋" w:hint="eastAsia"/>
          <w:color w:val="000000"/>
          <w:sz w:val="24"/>
          <w:szCs w:val="24"/>
        </w:rPr>
        <w:t>名青年博士教师作为研究生兼职辅导员，研究生党支部书记由辅导员担任。确保了研究生支部在学校党委和学院党委的坚强领导下工作，采取集中研讨、主题讨论、学习交流、观看纪录片、实践教育等形式多样的思政教育活动。充分发挥导师和任课教师在研究生党建工作中的作用，使之不但成为研究生科研上的引路人，也是理想信念的引导者。</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3.培养方案</w:t>
      </w:r>
    </w:p>
    <w:p w:rsidR="00D93628" w:rsidRDefault="00D93628" w:rsidP="00D93628">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color w:val="000000"/>
          <w:sz w:val="24"/>
          <w:szCs w:val="24"/>
        </w:rPr>
        <w:t>根据</w:t>
      </w:r>
      <w:r>
        <w:rPr>
          <w:rFonts w:ascii="仿宋" w:eastAsia="仿宋" w:hAnsi="仿宋" w:cs="仿宋" w:hint="eastAsia"/>
          <w:color w:val="000000"/>
          <w:sz w:val="24"/>
          <w:szCs w:val="24"/>
        </w:rPr>
        <w:t>食品科学与工程</w:t>
      </w:r>
      <w:r>
        <w:rPr>
          <w:rFonts w:ascii="仿宋" w:eastAsia="仿宋" w:hAnsi="仿宋" w:cs="仿宋"/>
          <w:color w:val="000000"/>
          <w:sz w:val="24"/>
          <w:szCs w:val="24"/>
        </w:rPr>
        <w:t>学科评议组的指导性要求和我校办学定位，邀请行业专</w:t>
      </w:r>
      <w:r>
        <w:rPr>
          <w:rFonts w:ascii="仿宋" w:eastAsia="仿宋" w:hAnsi="仿宋" w:cs="仿宋" w:hint="eastAsia"/>
          <w:color w:val="000000"/>
          <w:sz w:val="24"/>
          <w:szCs w:val="24"/>
        </w:rPr>
        <w:t>家</w:t>
      </w:r>
      <w:r>
        <w:rPr>
          <w:rFonts w:ascii="仿宋" w:eastAsia="仿宋" w:hAnsi="仿宋" w:cs="仿宋"/>
          <w:color w:val="000000"/>
          <w:sz w:val="24"/>
          <w:szCs w:val="24"/>
        </w:rPr>
        <w:t>充分论证，</w:t>
      </w:r>
      <w:r>
        <w:rPr>
          <w:rFonts w:ascii="仿宋" w:eastAsia="仿宋" w:hAnsi="仿宋" w:cs="仿宋" w:hint="eastAsia"/>
          <w:color w:val="000000"/>
          <w:sz w:val="24"/>
          <w:szCs w:val="24"/>
        </w:rPr>
        <w:t>修订</w:t>
      </w:r>
      <w:r>
        <w:rPr>
          <w:rFonts w:ascii="仿宋" w:eastAsia="仿宋" w:hAnsi="仿宋" w:cs="仿宋"/>
          <w:color w:val="000000"/>
          <w:sz w:val="24"/>
          <w:szCs w:val="24"/>
        </w:rPr>
        <w:t>了目标明确、特色鲜明的</w:t>
      </w:r>
      <w:r>
        <w:rPr>
          <w:rFonts w:ascii="仿宋" w:eastAsia="仿宋" w:hAnsi="仿宋" w:cs="仿宋" w:hint="eastAsia"/>
          <w:color w:val="000000"/>
          <w:sz w:val="24"/>
          <w:szCs w:val="24"/>
        </w:rPr>
        <w:t>食品科学与工程</w:t>
      </w:r>
      <w:r>
        <w:rPr>
          <w:rFonts w:ascii="仿宋" w:eastAsia="仿宋" w:hAnsi="仿宋" w:cs="仿宋"/>
          <w:color w:val="000000"/>
          <w:sz w:val="24"/>
          <w:szCs w:val="24"/>
        </w:rPr>
        <w:t>研究生培养方案。</w:t>
      </w:r>
    </w:p>
    <w:p w:rsidR="00D93628" w:rsidRDefault="00D93628" w:rsidP="00D93628">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color w:val="000000"/>
          <w:sz w:val="24"/>
          <w:szCs w:val="24"/>
        </w:rPr>
        <w:t>在研究生培养和考核过程中，严格按照培养方案的课程设置和实践要求执行，所有课程均</w:t>
      </w:r>
      <w:r>
        <w:rPr>
          <w:rFonts w:ascii="仿宋" w:eastAsia="仿宋" w:hAnsi="仿宋" w:cs="仿宋" w:hint="eastAsia"/>
          <w:color w:val="000000"/>
          <w:sz w:val="24"/>
          <w:szCs w:val="24"/>
        </w:rPr>
        <w:t>更新</w:t>
      </w:r>
      <w:r>
        <w:rPr>
          <w:rFonts w:ascii="仿宋" w:eastAsia="仿宋" w:hAnsi="仿宋" w:cs="仿宋"/>
          <w:color w:val="000000"/>
          <w:sz w:val="24"/>
          <w:szCs w:val="24"/>
        </w:rPr>
        <w:t>了教学大纲，对教学目的和教学要求、教学内容、教学方式、考核方式和参考书目等进行了明确规定。鼓励任课教师选用规划教材或自编符合人才培养目标要求的优秀教材、讲义。</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4.课程教学</w:t>
      </w:r>
    </w:p>
    <w:p w:rsidR="005D1F93" w:rsidRDefault="005D1F93" w:rsidP="005D1F93">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本学位点邀请行业专家，对学位点的培养方案中的课程体系设置进行评价，经评价现行课程体系对食品科学与工程研究生的培养是合理的。</w:t>
      </w:r>
    </w:p>
    <w:p w:rsidR="005D1F93" w:rsidRDefault="005D1F93" w:rsidP="005D1F93">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color w:val="000000"/>
          <w:sz w:val="24"/>
          <w:szCs w:val="24"/>
        </w:rPr>
        <w:t>选聘科研和教学水平高的专业教师作为学位课程和选修课程的主讲教师，任课教师全部具有高级职称或博士学位。教学过程按《四川轻化工大学研究生教学管理办法（修订）》文件进行管理，制定了研究生课程教学质量监控和评价体系，规范教学行为，保证课程有效实施，采用督学专家听课和学生评教相结合的方式进行课程评价，教学质量较好。实施课程分析制度，对课程学习情况进行细致分析和总结，持续改进课程教学效果。</w:t>
      </w:r>
    </w:p>
    <w:p w:rsidR="005D1F93" w:rsidRDefault="005D1F93" w:rsidP="005D1F93">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在教学大纲方面，本学位点</w:t>
      </w:r>
      <w:r>
        <w:rPr>
          <w:rFonts w:ascii="仿宋" w:eastAsia="仿宋" w:hAnsi="仿宋" w:cs="仿宋"/>
          <w:color w:val="000000"/>
          <w:sz w:val="24"/>
          <w:szCs w:val="24"/>
        </w:rPr>
        <w:t>所有课程均</w:t>
      </w:r>
      <w:r>
        <w:rPr>
          <w:rFonts w:ascii="仿宋" w:eastAsia="仿宋" w:hAnsi="仿宋" w:cs="仿宋" w:hint="eastAsia"/>
          <w:color w:val="000000"/>
          <w:sz w:val="24"/>
          <w:szCs w:val="24"/>
        </w:rPr>
        <w:t>更新</w:t>
      </w:r>
      <w:r>
        <w:rPr>
          <w:rFonts w:ascii="仿宋" w:eastAsia="仿宋" w:hAnsi="仿宋" w:cs="仿宋"/>
          <w:color w:val="000000"/>
          <w:sz w:val="24"/>
          <w:szCs w:val="24"/>
        </w:rPr>
        <w:t>了教学大纲，对教学目的和教学要求、教学内容、教学方式、考核方式和参考书目等进行了</w:t>
      </w:r>
      <w:r>
        <w:rPr>
          <w:rFonts w:ascii="仿宋" w:eastAsia="仿宋" w:hAnsi="仿宋" w:cs="仿宋" w:hint="eastAsia"/>
          <w:color w:val="000000"/>
          <w:sz w:val="24"/>
          <w:szCs w:val="24"/>
        </w:rPr>
        <w:t>新的</w:t>
      </w:r>
      <w:r>
        <w:rPr>
          <w:rFonts w:ascii="仿宋" w:eastAsia="仿宋" w:hAnsi="仿宋" w:cs="仿宋"/>
          <w:color w:val="000000"/>
          <w:sz w:val="24"/>
          <w:szCs w:val="24"/>
        </w:rPr>
        <w:t>规定</w:t>
      </w:r>
      <w:r>
        <w:rPr>
          <w:rFonts w:ascii="仿宋" w:eastAsia="仿宋" w:hAnsi="仿宋" w:cs="仿宋" w:hint="eastAsia"/>
          <w:color w:val="000000"/>
          <w:sz w:val="24"/>
          <w:szCs w:val="24"/>
        </w:rPr>
        <w:t>，并严格按照新教学大纲的要求执行。</w:t>
      </w:r>
    </w:p>
    <w:p w:rsidR="005D1F93" w:rsidRDefault="005D1F93" w:rsidP="005D1F93">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在教材方面，</w:t>
      </w:r>
      <w:r>
        <w:rPr>
          <w:rFonts w:ascii="仿宋" w:eastAsia="仿宋" w:hAnsi="仿宋" w:cs="仿宋"/>
          <w:color w:val="000000"/>
          <w:sz w:val="24"/>
          <w:szCs w:val="24"/>
        </w:rPr>
        <w:t>鼓励任课教师选用规划教材</w:t>
      </w:r>
      <w:r>
        <w:rPr>
          <w:rFonts w:ascii="仿宋" w:eastAsia="仿宋" w:hAnsi="仿宋" w:cs="仿宋" w:hint="eastAsia"/>
          <w:color w:val="000000"/>
          <w:sz w:val="24"/>
          <w:szCs w:val="24"/>
        </w:rPr>
        <w:t>或研究生的经典教材，同时，鼓励</w:t>
      </w:r>
      <w:r>
        <w:rPr>
          <w:rFonts w:ascii="仿宋" w:eastAsia="仿宋" w:hAnsi="仿宋" w:cs="仿宋" w:hint="eastAsia"/>
          <w:color w:val="000000"/>
          <w:sz w:val="24"/>
          <w:szCs w:val="24"/>
        </w:rPr>
        <w:lastRenderedPageBreak/>
        <w:t>教师</w:t>
      </w:r>
      <w:r>
        <w:rPr>
          <w:rFonts w:ascii="仿宋" w:eastAsia="仿宋" w:hAnsi="仿宋" w:cs="仿宋"/>
          <w:color w:val="000000"/>
          <w:sz w:val="24"/>
          <w:szCs w:val="24"/>
        </w:rPr>
        <w:t>自编符合人才培养目标要求的优秀教材、讲义。</w:t>
      </w:r>
    </w:p>
    <w:p w:rsidR="002B6756" w:rsidRDefault="005D1F93" w:rsidP="005D1F93">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在教学质量过程监控开展情况方面</w:t>
      </w:r>
      <w:r w:rsidRPr="005D1F93">
        <w:rPr>
          <w:rFonts w:ascii="仿宋" w:eastAsia="仿宋" w:hAnsi="仿宋" w:cs="仿宋" w:hint="eastAsia"/>
          <w:color w:val="000000" w:themeColor="text1"/>
          <w:sz w:val="24"/>
          <w:szCs w:val="24"/>
        </w:rPr>
        <w:t>，</w:t>
      </w:r>
      <w:r>
        <w:rPr>
          <w:rFonts w:ascii="仿宋" w:eastAsia="仿宋" w:hAnsi="仿宋" w:cs="仿宋" w:hint="eastAsia"/>
          <w:sz w:val="24"/>
          <w:szCs w:val="24"/>
        </w:rPr>
        <w:t>2</w:t>
      </w:r>
      <w:r>
        <w:rPr>
          <w:rFonts w:ascii="仿宋" w:eastAsia="仿宋" w:hAnsi="仿宋" w:cs="仿宋"/>
          <w:sz w:val="24"/>
          <w:szCs w:val="24"/>
        </w:rPr>
        <w:t>023</w:t>
      </w:r>
      <w:r>
        <w:rPr>
          <w:rFonts w:ascii="仿宋" w:eastAsia="仿宋" w:hAnsi="仿宋" w:cs="仿宋" w:hint="eastAsia"/>
          <w:sz w:val="24"/>
          <w:szCs w:val="24"/>
        </w:rPr>
        <w:t>年度学校研究生部组织督学专家对本学位点研究生课堂教学听课8次，学院组织领导班子课堂检查15次。从监督听课和抽查结果来看，各位任课教师备课认真，准备充分，上课精神饱满，多采用了多媒体等现代教学手段，课堂纪律好，出勤率高，总体教学质量高。定期开展各类教学档案检查，包括教学大纲、考试试卷、成绩表、成绩分析等，本学位点检查结果均为优秀。</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5.学术训练</w:t>
      </w:r>
    </w:p>
    <w:p w:rsidR="002B6756" w:rsidRPr="00BF4E06" w:rsidRDefault="00BF4E06" w:rsidP="00BF4E06">
      <w:pPr>
        <w:pStyle w:val="1"/>
        <w:adjustRightInd w:val="0"/>
        <w:snapToGrid w:val="0"/>
        <w:spacing w:line="420" w:lineRule="exact"/>
        <w:ind w:firstLine="480"/>
        <w:textAlignment w:val="center"/>
        <w:rPr>
          <w:rFonts w:ascii="仿宋" w:eastAsia="仿宋" w:hAnsi="仿宋" w:cs="仿宋"/>
          <w:sz w:val="24"/>
          <w:szCs w:val="24"/>
        </w:rPr>
      </w:pPr>
      <w:r>
        <w:rPr>
          <w:rFonts w:ascii="仿宋" w:eastAsia="仿宋" w:hAnsi="仿宋" w:cs="仿宋"/>
          <w:color w:val="000000"/>
          <w:sz w:val="24"/>
          <w:szCs w:val="24"/>
        </w:rPr>
        <w:t>按照《</w:t>
      </w:r>
      <w:r>
        <w:rPr>
          <w:rFonts w:ascii="仿宋" w:eastAsia="仿宋" w:hAnsi="仿宋" w:cs="仿宋" w:hint="eastAsia"/>
          <w:color w:val="000000"/>
          <w:sz w:val="24"/>
          <w:szCs w:val="24"/>
        </w:rPr>
        <w:t>四川轻化工大学硕士学位授予工作细则</w:t>
      </w:r>
      <w:r>
        <w:rPr>
          <w:rFonts w:ascii="仿宋" w:eastAsia="仿宋" w:hAnsi="仿宋" w:cs="仿宋"/>
          <w:color w:val="000000"/>
          <w:sz w:val="24"/>
          <w:szCs w:val="24"/>
        </w:rPr>
        <w:t>》和</w:t>
      </w:r>
      <w:r>
        <w:rPr>
          <w:rFonts w:ascii="仿宋" w:eastAsia="仿宋" w:hAnsi="仿宋" w:cs="仿宋" w:hint="eastAsia"/>
          <w:color w:val="000000"/>
          <w:sz w:val="24"/>
          <w:szCs w:val="24"/>
        </w:rPr>
        <w:t>食品科学与工程</w:t>
      </w:r>
      <w:r>
        <w:rPr>
          <w:rFonts w:ascii="仿宋" w:eastAsia="仿宋" w:hAnsi="仿宋" w:cs="仿宋"/>
          <w:color w:val="000000"/>
          <w:sz w:val="24"/>
          <w:szCs w:val="24"/>
        </w:rPr>
        <w:t>学科培养方案的要求，严格执行论文开题、中期检查、学位论文撰写和送审、答辩等各环节，保证每位研究生学术训练时间不少于1年。</w:t>
      </w:r>
      <w:r>
        <w:rPr>
          <w:rFonts w:ascii="仿宋" w:eastAsia="仿宋" w:hAnsi="仿宋" w:cs="仿宋" w:hint="eastAsia"/>
          <w:color w:val="000000"/>
          <w:sz w:val="24"/>
          <w:szCs w:val="24"/>
        </w:rPr>
        <w:t>根据学校</w:t>
      </w:r>
      <w:r>
        <w:rPr>
          <w:rFonts w:ascii="仿宋" w:eastAsia="仿宋" w:hAnsi="仿宋" w:cs="仿宋"/>
          <w:color w:val="000000"/>
          <w:sz w:val="24"/>
          <w:szCs w:val="24"/>
        </w:rPr>
        <w:t>制定</w:t>
      </w:r>
      <w:r>
        <w:rPr>
          <w:rFonts w:ascii="仿宋" w:eastAsia="仿宋" w:hAnsi="仿宋" w:cs="仿宋" w:hint="eastAsia"/>
          <w:color w:val="000000"/>
          <w:sz w:val="24"/>
          <w:szCs w:val="24"/>
        </w:rPr>
        <w:t>的</w:t>
      </w:r>
      <w:r>
        <w:rPr>
          <w:rFonts w:ascii="仿宋" w:eastAsia="仿宋" w:hAnsi="仿宋" w:cs="仿宋"/>
          <w:color w:val="000000"/>
          <w:sz w:val="24"/>
          <w:szCs w:val="24"/>
        </w:rPr>
        <w:t>《四川轻化工大学研究生创新基金项目管理办法（修订）》和《</w:t>
      </w:r>
      <w:r>
        <w:rPr>
          <w:rFonts w:ascii="仿宋" w:eastAsia="仿宋" w:hAnsi="仿宋" w:cs="仿宋" w:hint="eastAsia"/>
          <w:color w:val="000000"/>
          <w:sz w:val="24"/>
          <w:szCs w:val="24"/>
        </w:rPr>
        <w:t>四川轻化工大学</w:t>
      </w:r>
      <w:r>
        <w:rPr>
          <w:rFonts w:ascii="仿宋" w:eastAsia="仿宋" w:hAnsi="仿宋" w:cs="仿宋"/>
          <w:color w:val="000000"/>
          <w:sz w:val="24"/>
          <w:szCs w:val="24"/>
        </w:rPr>
        <w:t>研究生创新成果管理办法（</w:t>
      </w:r>
      <w:r>
        <w:rPr>
          <w:rFonts w:ascii="仿宋" w:eastAsia="仿宋" w:hAnsi="仿宋" w:cs="仿宋" w:hint="eastAsia"/>
          <w:color w:val="000000"/>
          <w:sz w:val="24"/>
          <w:szCs w:val="24"/>
        </w:rPr>
        <w:t>实行</w:t>
      </w:r>
      <w:r>
        <w:rPr>
          <w:rFonts w:ascii="仿宋" w:eastAsia="仿宋" w:hAnsi="仿宋" w:cs="仿宋"/>
          <w:color w:val="000000"/>
          <w:sz w:val="24"/>
          <w:szCs w:val="24"/>
        </w:rPr>
        <w:t>）》，</w:t>
      </w:r>
      <w:r>
        <w:rPr>
          <w:rFonts w:ascii="仿宋" w:eastAsia="仿宋" w:hAnsi="仿宋" w:cs="仿宋" w:hint="eastAsia"/>
          <w:color w:val="000000"/>
          <w:sz w:val="24"/>
          <w:szCs w:val="24"/>
        </w:rPr>
        <w:t>充分</w:t>
      </w:r>
      <w:r>
        <w:rPr>
          <w:rFonts w:ascii="仿宋" w:eastAsia="仿宋" w:hAnsi="仿宋" w:cs="仿宋"/>
          <w:color w:val="000000"/>
          <w:sz w:val="24"/>
          <w:szCs w:val="24"/>
        </w:rPr>
        <w:t>激发研究生的科研和创新积极性</w:t>
      </w:r>
      <w:r>
        <w:rPr>
          <w:rFonts w:ascii="仿宋" w:eastAsia="仿宋" w:hAnsi="仿宋" w:cs="仿宋" w:hint="eastAsia"/>
          <w:sz w:val="24"/>
          <w:szCs w:val="24"/>
        </w:rPr>
        <w:t>。2</w:t>
      </w:r>
      <w:r>
        <w:rPr>
          <w:rFonts w:ascii="仿宋" w:eastAsia="仿宋" w:hAnsi="仿宋" w:cs="仿宋"/>
          <w:sz w:val="24"/>
          <w:szCs w:val="24"/>
        </w:rPr>
        <w:t>023</w:t>
      </w:r>
      <w:r>
        <w:rPr>
          <w:rFonts w:ascii="仿宋" w:eastAsia="仿宋" w:hAnsi="仿宋" w:cs="仿宋" w:hint="eastAsia"/>
          <w:sz w:val="24"/>
          <w:szCs w:val="24"/>
        </w:rPr>
        <w:t>年</w:t>
      </w:r>
      <w:r>
        <w:rPr>
          <w:rFonts w:ascii="仿宋" w:eastAsia="仿宋" w:hAnsi="仿宋" w:cs="仿宋"/>
          <w:sz w:val="24"/>
          <w:szCs w:val="24"/>
        </w:rPr>
        <w:t>，本学位点硕士研究生参与各类科研项目</w:t>
      </w:r>
      <w:r>
        <w:rPr>
          <w:rFonts w:ascii="仿宋" w:eastAsia="仿宋" w:hAnsi="仿宋" w:cs="仿宋" w:hint="eastAsia"/>
          <w:sz w:val="24"/>
          <w:szCs w:val="24"/>
        </w:rPr>
        <w:t>40</w:t>
      </w:r>
      <w:r>
        <w:rPr>
          <w:rFonts w:ascii="仿宋" w:eastAsia="仿宋" w:hAnsi="仿宋" w:cs="仿宋"/>
          <w:sz w:val="24"/>
          <w:szCs w:val="24"/>
        </w:rPr>
        <w:t>余项，</w:t>
      </w:r>
      <w:r>
        <w:rPr>
          <w:rFonts w:ascii="仿宋" w:eastAsia="仿宋" w:hAnsi="仿宋" w:cs="仿宋" w:hint="eastAsia"/>
          <w:sz w:val="24"/>
          <w:szCs w:val="24"/>
        </w:rPr>
        <w:t>立项校内研究生创新基金</w:t>
      </w:r>
      <w:r w:rsidR="004112A1">
        <w:rPr>
          <w:rFonts w:ascii="仿宋" w:eastAsia="仿宋" w:hAnsi="仿宋" w:cs="仿宋"/>
          <w:sz w:val="24"/>
          <w:szCs w:val="24"/>
        </w:rPr>
        <w:t>8</w:t>
      </w:r>
      <w:r>
        <w:rPr>
          <w:rFonts w:ascii="仿宋" w:eastAsia="仿宋" w:hAnsi="仿宋" w:cs="仿宋" w:hint="eastAsia"/>
          <w:sz w:val="24"/>
          <w:szCs w:val="24"/>
        </w:rPr>
        <w:t>项，结题</w:t>
      </w:r>
      <w:r w:rsidR="0008333C">
        <w:rPr>
          <w:rFonts w:ascii="仿宋" w:eastAsia="仿宋" w:hAnsi="仿宋" w:cs="仿宋"/>
          <w:sz w:val="24"/>
          <w:szCs w:val="24"/>
        </w:rPr>
        <w:t>9</w:t>
      </w:r>
      <w:r>
        <w:rPr>
          <w:rFonts w:ascii="仿宋" w:eastAsia="仿宋" w:hAnsi="仿宋" w:cs="仿宋" w:hint="eastAsia"/>
          <w:sz w:val="24"/>
          <w:szCs w:val="24"/>
        </w:rPr>
        <w:t>项；发表论文</w:t>
      </w:r>
      <w:r w:rsidR="00CE0683">
        <w:rPr>
          <w:rFonts w:ascii="仿宋" w:eastAsia="仿宋" w:hAnsi="仿宋" w:cs="仿宋"/>
          <w:sz w:val="24"/>
          <w:szCs w:val="24"/>
        </w:rPr>
        <w:t>3</w:t>
      </w:r>
      <w:r>
        <w:rPr>
          <w:rFonts w:ascii="仿宋" w:eastAsia="仿宋" w:hAnsi="仿宋" w:cs="仿宋" w:hint="eastAsia"/>
          <w:sz w:val="24"/>
          <w:szCs w:val="24"/>
        </w:rPr>
        <w:t>0余篇。</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6.学术交流</w:t>
      </w:r>
    </w:p>
    <w:p w:rsidR="002B6756" w:rsidRPr="009A4770" w:rsidRDefault="009A4770" w:rsidP="009A4770">
      <w:pPr>
        <w:pStyle w:val="1"/>
        <w:adjustRightInd w:val="0"/>
        <w:snapToGrid w:val="0"/>
        <w:spacing w:line="420" w:lineRule="exact"/>
        <w:ind w:firstLine="480"/>
        <w:textAlignment w:val="center"/>
        <w:rPr>
          <w:rFonts w:ascii="仿宋" w:eastAsia="仿宋" w:hAnsi="仿宋" w:cs="仿宋"/>
          <w:sz w:val="24"/>
          <w:szCs w:val="24"/>
        </w:rPr>
      </w:pPr>
      <w:r>
        <w:rPr>
          <w:rFonts w:ascii="仿宋" w:eastAsia="仿宋" w:hAnsi="仿宋" w:cs="仿宋" w:hint="eastAsia"/>
          <w:color w:val="000000"/>
          <w:sz w:val="24"/>
          <w:szCs w:val="24"/>
        </w:rPr>
        <w:t>根据</w:t>
      </w:r>
      <w:r>
        <w:rPr>
          <w:rFonts w:ascii="仿宋" w:eastAsia="仿宋" w:hAnsi="仿宋" w:cs="仿宋"/>
          <w:color w:val="000000"/>
          <w:sz w:val="24"/>
          <w:szCs w:val="24"/>
        </w:rPr>
        <w:t>学校制定</w:t>
      </w:r>
      <w:r>
        <w:rPr>
          <w:rFonts w:ascii="仿宋" w:eastAsia="仿宋" w:hAnsi="仿宋" w:cs="仿宋" w:hint="eastAsia"/>
          <w:color w:val="000000"/>
          <w:sz w:val="24"/>
          <w:szCs w:val="24"/>
        </w:rPr>
        <w:t>的</w:t>
      </w:r>
      <w:r>
        <w:rPr>
          <w:rFonts w:ascii="仿宋" w:eastAsia="仿宋" w:hAnsi="仿宋" w:cs="仿宋"/>
          <w:color w:val="000000"/>
          <w:sz w:val="24"/>
          <w:szCs w:val="24"/>
        </w:rPr>
        <w:t>《</w:t>
      </w:r>
      <w:r>
        <w:rPr>
          <w:rFonts w:ascii="仿宋" w:eastAsia="仿宋" w:hAnsi="仿宋" w:cs="仿宋" w:hint="eastAsia"/>
          <w:color w:val="000000"/>
          <w:sz w:val="24"/>
          <w:szCs w:val="24"/>
        </w:rPr>
        <w:t>四川轻化工大学</w:t>
      </w:r>
      <w:r>
        <w:rPr>
          <w:rFonts w:ascii="仿宋" w:eastAsia="仿宋" w:hAnsi="仿宋" w:cs="仿宋"/>
          <w:color w:val="000000"/>
          <w:sz w:val="24"/>
          <w:szCs w:val="24"/>
        </w:rPr>
        <w:t>研究生学术交流活动考核实施办法》</w:t>
      </w:r>
      <w:r>
        <w:rPr>
          <w:rFonts w:ascii="仿宋" w:eastAsia="仿宋" w:hAnsi="仿宋" w:cs="仿宋" w:hint="eastAsia"/>
          <w:sz w:val="24"/>
          <w:szCs w:val="24"/>
        </w:rPr>
        <w:t>文件</w:t>
      </w:r>
      <w:r>
        <w:rPr>
          <w:rFonts w:ascii="仿宋" w:eastAsia="仿宋" w:hAnsi="仿宋" w:cs="仿宋"/>
          <w:sz w:val="24"/>
          <w:szCs w:val="24"/>
        </w:rPr>
        <w:t>，对研究生参加国际、国内学术会议及参与校内举行的各类学术讲座或学术交流活动进行规范。</w:t>
      </w:r>
      <w:bookmarkStart w:id="41" w:name="_Hlk127781573"/>
      <w:r>
        <w:rPr>
          <w:rFonts w:ascii="仿宋" w:eastAsia="仿宋" w:hAnsi="仿宋" w:cs="仿宋" w:hint="eastAsia"/>
          <w:sz w:val="24"/>
          <w:szCs w:val="24"/>
        </w:rPr>
        <w:t>202</w:t>
      </w:r>
      <w:r>
        <w:rPr>
          <w:rFonts w:ascii="仿宋" w:eastAsia="仿宋" w:hAnsi="仿宋" w:cs="仿宋"/>
          <w:sz w:val="24"/>
          <w:szCs w:val="24"/>
        </w:rPr>
        <w:t>3</w:t>
      </w:r>
      <w:r>
        <w:rPr>
          <w:rFonts w:ascii="仿宋" w:eastAsia="仿宋" w:hAnsi="仿宋" w:cs="仿宋" w:hint="eastAsia"/>
          <w:sz w:val="24"/>
          <w:szCs w:val="24"/>
        </w:rPr>
        <w:t>年，食品科学与工程学科以线上或线下的形式邀请国内外知名专家或优秀博士开设专题讲座和学术报告10场次，内容丰富，形式多样。</w:t>
      </w:r>
      <w:r w:rsidRPr="001F48F5">
        <w:rPr>
          <w:rFonts w:ascii="仿宋" w:eastAsia="仿宋" w:hAnsi="仿宋" w:cs="仿宋" w:hint="eastAsia"/>
          <w:sz w:val="24"/>
          <w:szCs w:val="24"/>
        </w:rPr>
        <w:t>学院也组织搭建了研究生交流平台与机制，鼓励同学们汇报交流</w:t>
      </w:r>
      <w:r>
        <w:rPr>
          <w:rFonts w:ascii="仿宋" w:eastAsia="仿宋" w:hAnsi="仿宋" w:cs="仿宋" w:hint="eastAsia"/>
          <w:sz w:val="24"/>
          <w:szCs w:val="24"/>
        </w:rPr>
        <w:t>，学生通过线上或线下的形式参加国内外学术会议和校内专题报告近200人次，其中主题报告或口头报告8人次；在校期间每位学生参加校内学术活动至少达6次以上。通过学术交流，优秀研究生心得体会分享等活动，增强了学科研究生的交流、协作能力，培养研究生科学精神。</w:t>
      </w:r>
      <w:bookmarkEnd w:id="41"/>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7.论文质量</w:t>
      </w:r>
    </w:p>
    <w:p w:rsidR="00A96B7D" w:rsidRDefault="00A96B7D" w:rsidP="00A96B7D">
      <w:pPr>
        <w:pStyle w:val="1"/>
        <w:adjustRightInd w:val="0"/>
        <w:snapToGrid w:val="0"/>
        <w:spacing w:line="420" w:lineRule="exact"/>
        <w:ind w:firstLine="480"/>
        <w:textAlignment w:val="center"/>
        <w:rPr>
          <w:rFonts w:ascii="仿宋" w:eastAsia="仿宋" w:hAnsi="仿宋" w:cs="仿宋"/>
          <w:sz w:val="24"/>
          <w:szCs w:val="24"/>
        </w:rPr>
      </w:pPr>
      <w:r>
        <w:rPr>
          <w:rFonts w:ascii="仿宋" w:eastAsia="仿宋" w:hAnsi="仿宋" w:cs="仿宋" w:hint="eastAsia"/>
          <w:sz w:val="24"/>
          <w:szCs w:val="24"/>
        </w:rPr>
        <w:t>根据</w:t>
      </w:r>
      <w:r>
        <w:rPr>
          <w:rFonts w:ascii="仿宋" w:eastAsia="仿宋" w:hAnsi="仿宋" w:cs="仿宋"/>
          <w:sz w:val="24"/>
          <w:szCs w:val="24"/>
        </w:rPr>
        <w:t>学校制定</w:t>
      </w:r>
      <w:r>
        <w:rPr>
          <w:rFonts w:ascii="仿宋" w:eastAsia="仿宋" w:hAnsi="仿宋" w:cs="仿宋" w:hint="eastAsia"/>
          <w:sz w:val="24"/>
          <w:szCs w:val="24"/>
        </w:rPr>
        <w:t>的</w:t>
      </w:r>
      <w:r>
        <w:rPr>
          <w:rFonts w:ascii="仿宋" w:eastAsia="仿宋" w:hAnsi="仿宋" w:cs="仿宋"/>
          <w:sz w:val="24"/>
          <w:szCs w:val="24"/>
        </w:rPr>
        <w:t>《</w:t>
      </w:r>
      <w:r>
        <w:rPr>
          <w:rFonts w:ascii="仿宋" w:eastAsia="仿宋" w:hAnsi="仿宋" w:cs="仿宋" w:hint="eastAsia"/>
          <w:sz w:val="24"/>
          <w:szCs w:val="24"/>
        </w:rPr>
        <w:t>四川轻化工大学硕士学位授予工作细则</w:t>
      </w:r>
      <w:r>
        <w:rPr>
          <w:rFonts w:ascii="仿宋" w:eastAsia="仿宋" w:hAnsi="仿宋" w:cs="仿宋"/>
          <w:sz w:val="24"/>
          <w:szCs w:val="24"/>
        </w:rPr>
        <w:t>》、《</w:t>
      </w:r>
      <w:r>
        <w:rPr>
          <w:rFonts w:ascii="仿宋" w:eastAsia="仿宋" w:hAnsi="仿宋" w:cs="仿宋" w:hint="eastAsia"/>
          <w:sz w:val="24"/>
          <w:szCs w:val="24"/>
        </w:rPr>
        <w:t>四川轻化工大学</w:t>
      </w:r>
      <w:r>
        <w:rPr>
          <w:rFonts w:ascii="仿宋" w:eastAsia="仿宋" w:hAnsi="仿宋" w:cs="仿宋"/>
          <w:sz w:val="24"/>
          <w:szCs w:val="24"/>
        </w:rPr>
        <w:t>研究生学位论文开题报告实施细则》、《</w:t>
      </w:r>
      <w:r>
        <w:rPr>
          <w:rFonts w:ascii="仿宋" w:eastAsia="仿宋" w:hAnsi="仿宋" w:cs="仿宋" w:hint="eastAsia"/>
          <w:sz w:val="24"/>
          <w:szCs w:val="24"/>
        </w:rPr>
        <w:t>四川轻化工大学硕士</w:t>
      </w:r>
      <w:r>
        <w:rPr>
          <w:rFonts w:ascii="仿宋" w:eastAsia="仿宋" w:hAnsi="仿宋" w:cs="仿宋"/>
          <w:sz w:val="24"/>
          <w:szCs w:val="24"/>
        </w:rPr>
        <w:t>研究生</w:t>
      </w:r>
      <w:r>
        <w:rPr>
          <w:rFonts w:ascii="仿宋" w:eastAsia="仿宋" w:hAnsi="仿宋" w:cs="仿宋" w:hint="eastAsia"/>
          <w:sz w:val="24"/>
          <w:szCs w:val="24"/>
        </w:rPr>
        <w:t>中期考核</w:t>
      </w:r>
      <w:r>
        <w:rPr>
          <w:rFonts w:ascii="仿宋" w:eastAsia="仿宋" w:hAnsi="仿宋" w:cs="仿宋"/>
          <w:sz w:val="24"/>
          <w:szCs w:val="24"/>
        </w:rPr>
        <w:t>实施细则》等文件，对学位论文选题、论文撰写、论文抽查、评审与答辩等环节都做了明确要求，导师组及导师指导严格按照文件指导学生，指导过程规范、严谨。</w:t>
      </w:r>
    </w:p>
    <w:p w:rsidR="00A96B7D" w:rsidRDefault="00A96B7D" w:rsidP="00A96B7D">
      <w:pPr>
        <w:pStyle w:val="1"/>
        <w:adjustRightInd w:val="0"/>
        <w:snapToGrid w:val="0"/>
        <w:spacing w:line="420" w:lineRule="exact"/>
        <w:ind w:firstLine="480"/>
        <w:textAlignment w:val="center"/>
        <w:rPr>
          <w:rFonts w:ascii="仿宋" w:eastAsia="仿宋" w:hAnsi="仿宋" w:cs="仿宋"/>
          <w:sz w:val="24"/>
          <w:szCs w:val="24"/>
        </w:rPr>
      </w:pPr>
      <w:bookmarkStart w:id="42" w:name="_Hlk127781591"/>
      <w:r>
        <w:rPr>
          <w:rFonts w:ascii="仿宋" w:eastAsia="仿宋" w:hAnsi="仿宋" w:cs="仿宋" w:hint="eastAsia"/>
          <w:sz w:val="24"/>
          <w:szCs w:val="24"/>
        </w:rPr>
        <w:t>食品科学与工程</w:t>
      </w:r>
      <w:r>
        <w:rPr>
          <w:rFonts w:ascii="仿宋" w:eastAsia="仿宋" w:hAnsi="仿宋" w:cs="仿宋"/>
          <w:sz w:val="24"/>
          <w:szCs w:val="24"/>
        </w:rPr>
        <w:t>学科要求所有学位论文必须符合查重比例要求（&lt;=20%）才能送审，送审采用校外（3人）专家盲审方式进行。</w:t>
      </w:r>
      <w:bookmarkEnd w:id="42"/>
      <w:r>
        <w:rPr>
          <w:rFonts w:ascii="仿宋" w:eastAsia="仿宋" w:hAnsi="仿宋" w:cs="仿宋" w:hint="eastAsia"/>
          <w:sz w:val="24"/>
          <w:szCs w:val="24"/>
        </w:rPr>
        <w:t>每学年召开学科导师专题会议，开展论文质量分析，讨论提高人才培养质量举措，持续改进学位论文质量。</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lastRenderedPageBreak/>
        <w:t>8.质量保证</w:t>
      </w:r>
    </w:p>
    <w:p w:rsidR="009B4C23" w:rsidRDefault="009B4C23">
      <w:pPr>
        <w:widowControl/>
        <w:spacing w:line="420" w:lineRule="exact"/>
        <w:ind w:firstLineChars="200" w:firstLine="480"/>
        <w:jc w:val="left"/>
        <w:rPr>
          <w:rFonts w:ascii="仿宋" w:eastAsia="仿宋" w:hAnsi="仿宋" w:cs="仿宋"/>
          <w:sz w:val="24"/>
          <w:szCs w:val="24"/>
        </w:rPr>
      </w:pPr>
      <w:r>
        <w:rPr>
          <w:rFonts w:ascii="仿宋" w:eastAsia="仿宋" w:hAnsi="仿宋" w:cs="仿宋"/>
          <w:sz w:val="24"/>
          <w:szCs w:val="24"/>
        </w:rPr>
        <w:t>按照《</w:t>
      </w:r>
      <w:r>
        <w:rPr>
          <w:rFonts w:ascii="仿宋" w:eastAsia="仿宋" w:hAnsi="仿宋" w:cs="仿宋" w:hint="eastAsia"/>
          <w:sz w:val="24"/>
          <w:szCs w:val="24"/>
        </w:rPr>
        <w:t>四川轻化工大学硕士学位授予工作细则</w:t>
      </w:r>
      <w:r>
        <w:rPr>
          <w:rFonts w:ascii="仿宋" w:eastAsia="仿宋" w:hAnsi="仿宋" w:cs="仿宋"/>
          <w:sz w:val="24"/>
          <w:szCs w:val="24"/>
        </w:rPr>
        <w:t>》、《四川</w:t>
      </w:r>
      <w:r>
        <w:rPr>
          <w:rFonts w:ascii="仿宋" w:eastAsia="仿宋" w:hAnsi="仿宋" w:cs="仿宋" w:hint="eastAsia"/>
          <w:sz w:val="24"/>
          <w:szCs w:val="24"/>
        </w:rPr>
        <w:t>轻化工大学</w:t>
      </w:r>
      <w:r>
        <w:rPr>
          <w:rFonts w:ascii="仿宋" w:eastAsia="仿宋" w:hAnsi="仿宋" w:cs="仿宋"/>
          <w:sz w:val="24"/>
          <w:szCs w:val="24"/>
        </w:rPr>
        <w:t>研究生学籍管理规定》和《四川</w:t>
      </w:r>
      <w:r>
        <w:rPr>
          <w:rFonts w:ascii="仿宋" w:eastAsia="仿宋" w:hAnsi="仿宋" w:cs="仿宋" w:hint="eastAsia"/>
          <w:sz w:val="24"/>
          <w:szCs w:val="24"/>
        </w:rPr>
        <w:t>轻化工大学</w:t>
      </w:r>
      <w:r>
        <w:rPr>
          <w:rFonts w:ascii="仿宋" w:eastAsia="仿宋" w:hAnsi="仿宋" w:cs="仿宋"/>
          <w:sz w:val="24"/>
          <w:szCs w:val="24"/>
        </w:rPr>
        <w:t>研究生转专业实施细则</w:t>
      </w:r>
      <w:r>
        <w:rPr>
          <w:rFonts w:ascii="仿宋" w:eastAsia="仿宋" w:hAnsi="仿宋" w:cs="仿宋" w:hint="eastAsia"/>
          <w:sz w:val="24"/>
          <w:szCs w:val="24"/>
        </w:rPr>
        <w:t>（修订）</w:t>
      </w:r>
      <w:r>
        <w:rPr>
          <w:rFonts w:ascii="仿宋" w:eastAsia="仿宋" w:hAnsi="仿宋" w:cs="仿宋"/>
          <w:sz w:val="24"/>
          <w:szCs w:val="24"/>
        </w:rPr>
        <w:t>》等制度，强调培养过程监控，加强学位论文和学位授予管理。</w:t>
      </w:r>
      <w:r>
        <w:rPr>
          <w:rFonts w:ascii="仿宋" w:eastAsia="仿宋" w:hAnsi="仿宋" w:cs="仿宋" w:hint="eastAsia"/>
          <w:sz w:val="24"/>
          <w:szCs w:val="24"/>
        </w:rPr>
        <w:t>202</w:t>
      </w:r>
      <w:r>
        <w:rPr>
          <w:rFonts w:ascii="仿宋" w:eastAsia="仿宋" w:hAnsi="仿宋" w:cs="仿宋"/>
          <w:sz w:val="24"/>
          <w:szCs w:val="24"/>
        </w:rPr>
        <w:t>3</w:t>
      </w:r>
      <w:r>
        <w:rPr>
          <w:rFonts w:ascii="仿宋" w:eastAsia="仿宋" w:hAnsi="仿宋" w:cs="仿宋" w:hint="eastAsia"/>
          <w:sz w:val="24"/>
          <w:szCs w:val="24"/>
        </w:rPr>
        <w:t>年，</w:t>
      </w:r>
      <w:r w:rsidRPr="0037421D">
        <w:rPr>
          <w:rFonts w:ascii="仿宋" w:eastAsia="仿宋" w:hAnsi="仿宋" w:cs="仿宋" w:hint="eastAsia"/>
          <w:sz w:val="24"/>
          <w:szCs w:val="24"/>
        </w:rPr>
        <w:t>18</w:t>
      </w:r>
      <w:r>
        <w:rPr>
          <w:rFonts w:ascii="仿宋" w:eastAsia="仿宋" w:hAnsi="仿宋" w:cs="仿宋" w:hint="eastAsia"/>
          <w:sz w:val="24"/>
          <w:szCs w:val="24"/>
        </w:rPr>
        <w:t>位研究生顺利毕业，并达到授位条件获得硕士学位。</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9.学风建设</w:t>
      </w:r>
    </w:p>
    <w:p w:rsidR="001D3291" w:rsidRDefault="001D3291" w:rsidP="001D3291">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根据</w:t>
      </w:r>
      <w:r>
        <w:rPr>
          <w:rFonts w:ascii="仿宋" w:eastAsia="仿宋" w:hAnsi="仿宋" w:cs="仿宋"/>
          <w:color w:val="000000"/>
          <w:sz w:val="24"/>
          <w:szCs w:val="24"/>
        </w:rPr>
        <w:t>《</w:t>
      </w:r>
      <w:r>
        <w:rPr>
          <w:rFonts w:ascii="仿宋" w:eastAsia="仿宋" w:hAnsi="仿宋" w:cs="仿宋" w:hint="eastAsia"/>
          <w:color w:val="000000"/>
          <w:sz w:val="24"/>
          <w:szCs w:val="24"/>
        </w:rPr>
        <w:t>四川轻化工大学</w:t>
      </w:r>
      <w:r>
        <w:rPr>
          <w:rFonts w:ascii="仿宋" w:eastAsia="仿宋" w:hAnsi="仿宋" w:cs="仿宋"/>
          <w:color w:val="000000"/>
          <w:sz w:val="24"/>
          <w:szCs w:val="24"/>
        </w:rPr>
        <w:t>研究生学术道德规范》、《四川</w:t>
      </w:r>
      <w:r>
        <w:rPr>
          <w:rFonts w:ascii="仿宋" w:eastAsia="仿宋" w:hAnsi="仿宋" w:cs="仿宋" w:hint="eastAsia"/>
          <w:color w:val="000000"/>
          <w:sz w:val="24"/>
          <w:szCs w:val="24"/>
        </w:rPr>
        <w:t>轻化工大学</w:t>
      </w:r>
      <w:r>
        <w:rPr>
          <w:rFonts w:ascii="仿宋" w:eastAsia="仿宋" w:hAnsi="仿宋" w:cs="仿宋"/>
          <w:color w:val="000000"/>
          <w:sz w:val="24"/>
          <w:szCs w:val="24"/>
        </w:rPr>
        <w:t>学位论文作假行为处理实施细则》等规范性文件</w:t>
      </w:r>
      <w:r>
        <w:rPr>
          <w:rFonts w:ascii="仿宋" w:eastAsia="仿宋" w:hAnsi="仿宋" w:cs="仿宋" w:hint="eastAsia"/>
          <w:color w:val="000000"/>
          <w:sz w:val="24"/>
          <w:szCs w:val="24"/>
        </w:rPr>
        <w:t>的要求，开展学风建设</w:t>
      </w:r>
      <w:r>
        <w:rPr>
          <w:rFonts w:ascii="仿宋" w:eastAsia="仿宋" w:hAnsi="仿宋" w:cs="仿宋"/>
          <w:color w:val="000000"/>
          <w:sz w:val="24"/>
          <w:szCs w:val="24"/>
        </w:rPr>
        <w:t>。学院通过研究生入学教育、专题讲座、学期座谈会、主题教育及课程内穿插强调等进行学风教育，导师组通过研究生例会制度开展研究生的学术道德规范教育，对学术不端行为零容忍，教育效果良好</w:t>
      </w:r>
      <w:r>
        <w:rPr>
          <w:rFonts w:ascii="仿宋" w:eastAsia="仿宋" w:hAnsi="仿宋" w:cs="仿宋" w:hint="eastAsia"/>
          <w:color w:val="000000"/>
          <w:sz w:val="24"/>
          <w:szCs w:val="24"/>
        </w:rPr>
        <w:t>。</w:t>
      </w:r>
      <w:r>
        <w:rPr>
          <w:rFonts w:ascii="仿宋" w:eastAsia="仿宋" w:hAnsi="仿宋" w:cs="仿宋" w:hint="eastAsia"/>
          <w:sz w:val="24"/>
          <w:szCs w:val="24"/>
        </w:rPr>
        <w:t>2</w:t>
      </w:r>
      <w:r>
        <w:rPr>
          <w:rFonts w:ascii="仿宋" w:eastAsia="仿宋" w:hAnsi="仿宋" w:cs="仿宋"/>
          <w:sz w:val="24"/>
          <w:szCs w:val="24"/>
        </w:rPr>
        <w:t>02</w:t>
      </w:r>
      <w:r w:rsidR="00267CED">
        <w:rPr>
          <w:rFonts w:ascii="仿宋" w:eastAsia="仿宋" w:hAnsi="仿宋" w:cs="仿宋"/>
          <w:sz w:val="24"/>
          <w:szCs w:val="24"/>
        </w:rPr>
        <w:t>3</w:t>
      </w:r>
      <w:r>
        <w:rPr>
          <w:rFonts w:ascii="仿宋" w:eastAsia="仿宋" w:hAnsi="仿宋" w:cs="仿宋" w:hint="eastAsia"/>
          <w:sz w:val="24"/>
          <w:szCs w:val="24"/>
        </w:rPr>
        <w:t>年，食品科学与工程</w:t>
      </w:r>
      <w:r>
        <w:rPr>
          <w:rFonts w:ascii="仿宋" w:eastAsia="仿宋" w:hAnsi="仿宋" w:cs="仿宋"/>
          <w:sz w:val="24"/>
          <w:szCs w:val="24"/>
        </w:rPr>
        <w:t>学科未出现学生学术不端行为。</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10.管理服务</w:t>
      </w:r>
    </w:p>
    <w:p w:rsidR="00F82470" w:rsidRDefault="00F82470" w:rsidP="00F8247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color w:val="000000"/>
          <w:sz w:val="24"/>
          <w:szCs w:val="24"/>
        </w:rPr>
        <w:t>学校建立了研究生教育校院二级管理体系。学校层面制定研究生培养的各环节的规章制度，学院层面具体实施，并根据培养学院实际情况制定实施细则。</w:t>
      </w:r>
      <w:r>
        <w:rPr>
          <w:rFonts w:ascii="仿宋" w:eastAsia="仿宋" w:hAnsi="仿宋" w:cs="仿宋" w:hint="eastAsia"/>
          <w:color w:val="000000"/>
          <w:sz w:val="24"/>
          <w:szCs w:val="24"/>
        </w:rPr>
        <w:t>食品科学与工程</w:t>
      </w:r>
      <w:r>
        <w:rPr>
          <w:rFonts w:ascii="仿宋" w:eastAsia="仿宋" w:hAnsi="仿宋" w:cs="仿宋"/>
          <w:color w:val="000000"/>
          <w:sz w:val="24"/>
          <w:szCs w:val="24"/>
        </w:rPr>
        <w:t>学科硕士学位授权点机构由学院教授委员会、导师组、研究生秘书和研究生辅导员组成。学院成立由院长直接分管的学位与研究生工作办公室，负责学科建设与研究生培养过程管理，导师组负责研究生的指导、培养工作，研究生秘书开展日常教学管理工作，研究生辅导员开展学生思想政治、学风建设等工作。</w:t>
      </w:r>
    </w:p>
    <w:p w:rsidR="00F82470" w:rsidRDefault="00F82470" w:rsidP="00F8247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食品科学与工程</w:t>
      </w:r>
      <w:r>
        <w:rPr>
          <w:rFonts w:ascii="仿宋" w:eastAsia="仿宋" w:hAnsi="仿宋" w:cs="仿宋"/>
          <w:color w:val="000000"/>
          <w:sz w:val="24"/>
          <w:szCs w:val="24"/>
        </w:rPr>
        <w:t>学科建立了完善的研究生权益保障制度。在研究生招生工作、培养过程、学位管理、奖勤助贷、考核、评优等各环节均有相关的制度保障并严格执行。</w:t>
      </w:r>
      <w:r>
        <w:rPr>
          <w:rFonts w:ascii="仿宋" w:eastAsia="仿宋" w:hAnsi="仿宋" w:cs="仿宋" w:hint="eastAsia"/>
          <w:color w:val="000000"/>
          <w:sz w:val="24"/>
          <w:szCs w:val="24"/>
        </w:rPr>
        <w:t>建立有校研究生会和学院研究生会，切实维护研究生的权益。</w:t>
      </w:r>
      <w:r>
        <w:rPr>
          <w:rFonts w:ascii="仿宋" w:eastAsia="仿宋" w:hAnsi="仿宋" w:cs="仿宋"/>
          <w:color w:val="000000"/>
          <w:sz w:val="24"/>
          <w:szCs w:val="24"/>
        </w:rPr>
        <w:t>研究生的开题、中期答辩、导师指导、论文撰写、论文审查与答辩等过程严格按规定执行，管理规范得力。</w:t>
      </w:r>
    </w:p>
    <w:p w:rsidR="00F82470" w:rsidRDefault="00F82470" w:rsidP="00F8247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食品科学与工程</w:t>
      </w:r>
      <w:r>
        <w:rPr>
          <w:rFonts w:ascii="仿宋" w:eastAsia="仿宋" w:hAnsi="仿宋" w:cs="仿宋"/>
          <w:color w:val="000000"/>
          <w:sz w:val="24"/>
          <w:szCs w:val="24"/>
        </w:rPr>
        <w:t>学科学位点教学资料和学生学籍资料由专人保管，保存完好，重要资料由学校档案馆统一保存，一般资料由培养学院保存，管理规范、分工明确。</w:t>
      </w:r>
    </w:p>
    <w:p w:rsidR="002B6756" w:rsidRDefault="00F82470" w:rsidP="00F8247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每年开展研究生满意</w:t>
      </w:r>
      <w:r>
        <w:rPr>
          <w:rFonts w:ascii="仿宋" w:eastAsia="仿宋" w:hAnsi="仿宋" w:cs="仿宋" w:hint="eastAsia"/>
          <w:sz w:val="24"/>
          <w:szCs w:val="24"/>
        </w:rPr>
        <w:t>度调查。2</w:t>
      </w:r>
      <w:r>
        <w:rPr>
          <w:rFonts w:ascii="仿宋" w:eastAsia="仿宋" w:hAnsi="仿宋" w:cs="仿宋"/>
          <w:sz w:val="24"/>
          <w:szCs w:val="24"/>
        </w:rPr>
        <w:t>023</w:t>
      </w:r>
      <w:r>
        <w:rPr>
          <w:rFonts w:ascii="仿宋" w:eastAsia="仿宋" w:hAnsi="仿宋" w:cs="仿宋" w:hint="eastAsia"/>
          <w:sz w:val="24"/>
          <w:szCs w:val="24"/>
        </w:rPr>
        <w:t>年，本学位点在校研究生</w:t>
      </w:r>
      <w:r>
        <w:rPr>
          <w:rFonts w:ascii="仿宋" w:eastAsia="仿宋" w:hAnsi="仿宋" w:cs="仿宋"/>
          <w:sz w:val="24"/>
          <w:szCs w:val="24"/>
        </w:rPr>
        <w:t>满意度调查结果表明，</w:t>
      </w:r>
      <w:r>
        <w:rPr>
          <w:rFonts w:ascii="仿宋" w:eastAsia="仿宋" w:hAnsi="仿宋" w:cs="仿宋" w:hint="eastAsia"/>
          <w:sz w:val="24"/>
          <w:szCs w:val="24"/>
        </w:rPr>
        <w:t>本学位点</w:t>
      </w:r>
      <w:r>
        <w:rPr>
          <w:rFonts w:ascii="仿宋" w:eastAsia="仿宋" w:hAnsi="仿宋" w:cs="仿宋"/>
          <w:sz w:val="24"/>
          <w:szCs w:val="24"/>
        </w:rPr>
        <w:t>研究生对在校期间的学习、导师指导、学习环境和氛围、实验条件、科研训练和授课教师满意度等方面的满意程度高</w:t>
      </w:r>
      <w:r>
        <w:rPr>
          <w:rFonts w:ascii="仿宋" w:eastAsia="仿宋" w:hAnsi="仿宋" w:cs="仿宋" w:hint="eastAsia"/>
          <w:sz w:val="24"/>
          <w:szCs w:val="24"/>
        </w:rPr>
        <w:t>，认可度强</w:t>
      </w:r>
      <w:r>
        <w:rPr>
          <w:rFonts w:ascii="仿宋" w:eastAsia="仿宋" w:hAnsi="仿宋" w:cs="仿宋" w:hint="eastAsia"/>
          <w:color w:val="000000"/>
          <w:sz w:val="24"/>
          <w:szCs w:val="24"/>
        </w:rPr>
        <w:t>。</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11.培养成效</w:t>
      </w:r>
    </w:p>
    <w:p w:rsidR="00533D2C" w:rsidRDefault="00533D2C" w:rsidP="00533D2C">
      <w:pPr>
        <w:pStyle w:val="1"/>
        <w:adjustRightInd w:val="0"/>
        <w:snapToGrid w:val="0"/>
        <w:spacing w:line="420" w:lineRule="exact"/>
        <w:ind w:firstLine="480"/>
        <w:textAlignment w:val="center"/>
        <w:rPr>
          <w:rFonts w:ascii="仿宋" w:eastAsia="仿宋" w:hAnsi="仿宋" w:cs="仿宋"/>
          <w:sz w:val="24"/>
          <w:szCs w:val="24"/>
        </w:rPr>
      </w:pPr>
      <w:bookmarkStart w:id="43" w:name="_Hlk127781650"/>
      <w:r>
        <w:rPr>
          <w:rFonts w:ascii="仿宋" w:eastAsia="仿宋" w:hAnsi="仿宋" w:cs="仿宋" w:hint="eastAsia"/>
          <w:sz w:val="24"/>
          <w:szCs w:val="24"/>
        </w:rPr>
        <w:t>2</w:t>
      </w:r>
      <w:r>
        <w:rPr>
          <w:rFonts w:ascii="仿宋" w:eastAsia="仿宋" w:hAnsi="仿宋" w:cs="仿宋"/>
          <w:sz w:val="24"/>
          <w:szCs w:val="24"/>
        </w:rPr>
        <w:t>02</w:t>
      </w:r>
      <w:r w:rsidR="00BF1F29">
        <w:rPr>
          <w:rFonts w:ascii="仿宋" w:eastAsia="仿宋" w:hAnsi="仿宋" w:cs="仿宋"/>
          <w:sz w:val="24"/>
          <w:szCs w:val="24"/>
        </w:rPr>
        <w:t>3</w:t>
      </w:r>
      <w:r>
        <w:rPr>
          <w:rFonts w:ascii="仿宋" w:eastAsia="仿宋" w:hAnsi="仿宋" w:cs="仿宋" w:hint="eastAsia"/>
          <w:sz w:val="24"/>
          <w:szCs w:val="24"/>
        </w:rPr>
        <w:t>年，本学位点</w:t>
      </w:r>
      <w:r>
        <w:rPr>
          <w:rFonts w:ascii="仿宋" w:eastAsia="仿宋" w:hAnsi="仿宋" w:cs="仿宋"/>
          <w:sz w:val="24"/>
          <w:szCs w:val="24"/>
        </w:rPr>
        <w:t>研究生参与各类科研项目</w:t>
      </w:r>
      <w:r>
        <w:rPr>
          <w:rFonts w:ascii="仿宋" w:eastAsia="仿宋" w:hAnsi="仿宋" w:cs="仿宋" w:hint="eastAsia"/>
          <w:sz w:val="24"/>
          <w:szCs w:val="24"/>
        </w:rPr>
        <w:t>4</w:t>
      </w:r>
      <w:r>
        <w:rPr>
          <w:rFonts w:ascii="仿宋" w:eastAsia="仿宋" w:hAnsi="仿宋" w:cs="仿宋"/>
          <w:sz w:val="24"/>
          <w:szCs w:val="24"/>
        </w:rPr>
        <w:t>0余项，</w:t>
      </w:r>
      <w:bookmarkEnd w:id="43"/>
      <w:r>
        <w:rPr>
          <w:rFonts w:ascii="仿宋" w:eastAsia="仿宋" w:hAnsi="仿宋" w:cs="仿宋" w:hint="eastAsia"/>
          <w:sz w:val="24"/>
          <w:szCs w:val="24"/>
        </w:rPr>
        <w:t>立项校内研究生创新基金5项，结题9项；</w:t>
      </w:r>
      <w:r w:rsidRPr="00C67B53">
        <w:rPr>
          <w:rFonts w:ascii="仿宋" w:eastAsia="仿宋" w:hAnsi="仿宋" w:cs="仿宋" w:hint="eastAsia"/>
          <w:sz w:val="24"/>
          <w:szCs w:val="24"/>
        </w:rPr>
        <w:t>发表论文30余篇，授权发明专利（参与人）2项。本年</w:t>
      </w:r>
      <w:r w:rsidRPr="00C67B53">
        <w:rPr>
          <w:rFonts w:ascii="仿宋" w:eastAsia="仿宋" w:hAnsi="仿宋" w:cs="仿宋" w:hint="eastAsia"/>
          <w:sz w:val="24"/>
          <w:szCs w:val="24"/>
        </w:rPr>
        <w:lastRenderedPageBreak/>
        <w:t>度，2名研究生获国家奖学金。</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12.就业发展</w:t>
      </w:r>
    </w:p>
    <w:p w:rsidR="0056299B" w:rsidRDefault="0056299B" w:rsidP="0056299B">
      <w:pPr>
        <w:pStyle w:val="1"/>
        <w:adjustRightInd w:val="0"/>
        <w:snapToGrid w:val="0"/>
        <w:spacing w:line="420" w:lineRule="exact"/>
        <w:ind w:firstLine="480"/>
        <w:textAlignment w:val="center"/>
        <w:rPr>
          <w:rFonts w:ascii="仿宋" w:eastAsia="仿宋" w:hAnsi="仿宋" w:cs="仿宋"/>
          <w:color w:val="000000"/>
          <w:sz w:val="24"/>
          <w:szCs w:val="24"/>
        </w:rPr>
      </w:pPr>
      <w:bookmarkStart w:id="44" w:name="_Hlk127781668"/>
      <w:r>
        <w:rPr>
          <w:rFonts w:ascii="仿宋" w:eastAsia="仿宋" w:hAnsi="仿宋" w:cs="仿宋" w:hint="eastAsia"/>
          <w:sz w:val="24"/>
          <w:szCs w:val="24"/>
        </w:rPr>
        <w:t>2</w:t>
      </w:r>
      <w:r>
        <w:rPr>
          <w:rFonts w:ascii="仿宋" w:eastAsia="仿宋" w:hAnsi="仿宋" w:cs="仿宋"/>
          <w:sz w:val="24"/>
          <w:szCs w:val="24"/>
        </w:rPr>
        <w:t>023年，</w:t>
      </w:r>
      <w:r>
        <w:rPr>
          <w:rFonts w:ascii="仿宋" w:eastAsia="仿宋" w:hAnsi="仿宋" w:cs="仿宋" w:hint="eastAsia"/>
          <w:color w:val="000000"/>
          <w:sz w:val="24"/>
          <w:szCs w:val="24"/>
        </w:rPr>
        <w:t>食品科学与工程</w:t>
      </w:r>
      <w:r>
        <w:rPr>
          <w:rFonts w:ascii="仿宋" w:eastAsia="仿宋" w:hAnsi="仿宋" w:cs="仿宋"/>
          <w:sz w:val="24"/>
          <w:szCs w:val="24"/>
        </w:rPr>
        <w:t>学科研究生毕业生就业率</w:t>
      </w:r>
      <w:r>
        <w:rPr>
          <w:rFonts w:ascii="仿宋" w:eastAsia="仿宋" w:hAnsi="仿宋" w:cs="仿宋" w:hint="eastAsia"/>
          <w:sz w:val="24"/>
          <w:szCs w:val="24"/>
        </w:rPr>
        <w:t>95</w:t>
      </w:r>
      <w:r>
        <w:rPr>
          <w:rFonts w:ascii="仿宋" w:eastAsia="仿宋" w:hAnsi="仿宋" w:cs="仿宋"/>
          <w:sz w:val="24"/>
          <w:szCs w:val="24"/>
        </w:rPr>
        <w:t>%，</w:t>
      </w:r>
      <w:bookmarkEnd w:id="44"/>
      <w:r>
        <w:rPr>
          <w:rFonts w:ascii="仿宋" w:eastAsia="仿宋" w:hAnsi="仿宋" w:cs="仿宋"/>
          <w:sz w:val="24"/>
          <w:szCs w:val="24"/>
        </w:rPr>
        <w:t>就业</w:t>
      </w:r>
      <w:r>
        <w:rPr>
          <w:rFonts w:ascii="仿宋" w:eastAsia="仿宋" w:hAnsi="仿宋" w:cs="仿宋" w:hint="eastAsia"/>
          <w:sz w:val="24"/>
          <w:szCs w:val="24"/>
        </w:rPr>
        <w:t>签约单位类型</w:t>
      </w:r>
      <w:r>
        <w:rPr>
          <w:rFonts w:ascii="仿宋" w:eastAsia="仿宋" w:hAnsi="仿宋" w:cs="仿宋"/>
          <w:sz w:val="24"/>
          <w:szCs w:val="24"/>
        </w:rPr>
        <w:t>主要包括升学</w:t>
      </w:r>
      <w:r>
        <w:rPr>
          <w:rFonts w:ascii="仿宋" w:eastAsia="仿宋" w:hAnsi="仿宋" w:cs="仿宋" w:hint="eastAsia"/>
          <w:color w:val="000000"/>
          <w:sz w:val="24"/>
          <w:szCs w:val="24"/>
        </w:rPr>
        <w:t>攻读博士学位</w:t>
      </w:r>
      <w:r>
        <w:rPr>
          <w:rFonts w:ascii="仿宋" w:eastAsia="仿宋" w:hAnsi="仿宋" w:cs="仿宋"/>
          <w:color w:val="000000"/>
          <w:sz w:val="24"/>
          <w:szCs w:val="24"/>
        </w:rPr>
        <w:t>、</w:t>
      </w:r>
      <w:r>
        <w:rPr>
          <w:rFonts w:ascii="仿宋" w:eastAsia="仿宋" w:hAnsi="仿宋" w:cs="仿宋" w:hint="eastAsia"/>
          <w:color w:val="000000"/>
          <w:sz w:val="24"/>
          <w:szCs w:val="24"/>
        </w:rPr>
        <w:t>酒企、</w:t>
      </w:r>
      <w:r>
        <w:rPr>
          <w:rFonts w:ascii="仿宋" w:eastAsia="仿宋" w:hAnsi="仿宋" w:cs="仿宋"/>
          <w:color w:val="000000"/>
          <w:sz w:val="24"/>
          <w:szCs w:val="24"/>
        </w:rPr>
        <w:t>事业单位从事设计研发等工作。本学科开展了毕业生</w:t>
      </w:r>
      <w:r>
        <w:rPr>
          <w:rFonts w:ascii="仿宋" w:eastAsia="仿宋" w:hAnsi="仿宋" w:cs="仿宋" w:hint="eastAsia"/>
          <w:color w:val="000000"/>
          <w:sz w:val="24"/>
          <w:szCs w:val="24"/>
        </w:rPr>
        <w:t>用人单位</w:t>
      </w:r>
      <w:r>
        <w:rPr>
          <w:rFonts w:ascii="仿宋" w:eastAsia="仿宋" w:hAnsi="仿宋" w:cs="仿宋"/>
          <w:color w:val="000000"/>
          <w:sz w:val="24"/>
          <w:szCs w:val="24"/>
        </w:rPr>
        <w:t>跟踪调查，用人单位反馈意见表明：用人单位普遍对本学科培养毕业研究生的工作表现满意，大多数毕业生已经成长为用人单位的技术骨干</w:t>
      </w:r>
      <w:r>
        <w:rPr>
          <w:rFonts w:ascii="仿宋" w:eastAsia="仿宋" w:hAnsi="仿宋" w:cs="仿宋" w:hint="eastAsia"/>
          <w:color w:val="000000"/>
          <w:sz w:val="24"/>
          <w:szCs w:val="24"/>
        </w:rPr>
        <w:t>或中层管理人员</w:t>
      </w:r>
      <w:r>
        <w:rPr>
          <w:rFonts w:ascii="仿宋" w:eastAsia="仿宋" w:hAnsi="仿宋" w:cs="仿宋"/>
          <w:color w:val="000000"/>
          <w:sz w:val="24"/>
          <w:szCs w:val="24"/>
        </w:rPr>
        <w:t>。</w:t>
      </w:r>
    </w:p>
    <w:p w:rsidR="002B6756" w:rsidRDefault="00000000">
      <w:pPr>
        <w:widowControl/>
        <w:spacing w:line="420" w:lineRule="exact"/>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t>四、服务贡献</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1.成果转化</w:t>
      </w:r>
    </w:p>
    <w:p w:rsidR="00AC60E8" w:rsidRDefault="00AC60E8" w:rsidP="00AC60E8">
      <w:pPr>
        <w:pStyle w:val="1"/>
        <w:adjustRightInd w:val="0"/>
        <w:snapToGrid w:val="0"/>
        <w:spacing w:line="420" w:lineRule="exact"/>
        <w:ind w:firstLine="480"/>
        <w:textAlignment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023</w:t>
      </w:r>
      <w:r>
        <w:rPr>
          <w:rFonts w:ascii="仿宋" w:eastAsia="仿宋" w:hAnsi="仿宋" w:cs="仿宋" w:hint="eastAsia"/>
          <w:sz w:val="24"/>
          <w:szCs w:val="24"/>
        </w:rPr>
        <w:t>年度</w:t>
      </w:r>
      <w:r w:rsidRPr="00C67B53">
        <w:rPr>
          <w:rFonts w:ascii="仿宋" w:eastAsia="仿宋" w:hAnsi="仿宋" w:cs="仿宋" w:hint="eastAsia"/>
          <w:sz w:val="24"/>
          <w:szCs w:val="24"/>
        </w:rPr>
        <w:t>，本学位点</w:t>
      </w:r>
      <w:r w:rsidR="00A54190" w:rsidRPr="00C67B53">
        <w:rPr>
          <w:rFonts w:ascii="仿宋" w:eastAsia="仿宋" w:hAnsi="仿宋" w:cs="仿宋"/>
          <w:sz w:val="24"/>
          <w:szCs w:val="24"/>
        </w:rPr>
        <w:t>2</w:t>
      </w:r>
      <w:r w:rsidRPr="00C67B53">
        <w:rPr>
          <w:rFonts w:ascii="仿宋" w:eastAsia="仿宋" w:hAnsi="仿宋" w:cs="仿宋" w:hint="eastAsia"/>
          <w:sz w:val="24"/>
          <w:szCs w:val="24"/>
        </w:rPr>
        <w:t>项科研项目实现了成果转化，在白酒酿造、食品加工行业取得了广泛的应用。</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2.服务经济和社会发展</w:t>
      </w:r>
      <w:r>
        <w:rPr>
          <w:rFonts w:ascii="仿宋" w:eastAsia="仿宋" w:hAnsi="仿宋" w:cs="仿宋" w:hint="eastAsia"/>
          <w:b/>
          <w:color w:val="FF0000"/>
          <w:kern w:val="0"/>
          <w:sz w:val="24"/>
          <w:szCs w:val="24"/>
        </w:rPr>
        <w:t xml:space="preserve"> </w:t>
      </w:r>
    </w:p>
    <w:p w:rsidR="006E6FD5" w:rsidRDefault="006E6FD5" w:rsidP="006E6FD5">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color w:val="000000"/>
          <w:sz w:val="24"/>
          <w:szCs w:val="24"/>
        </w:rPr>
        <w:t>以地方经济</w:t>
      </w:r>
      <w:r>
        <w:rPr>
          <w:rFonts w:ascii="仿宋" w:eastAsia="仿宋" w:hAnsi="仿宋" w:cs="仿宋" w:hint="eastAsia"/>
          <w:color w:val="000000"/>
          <w:sz w:val="24"/>
          <w:szCs w:val="24"/>
        </w:rPr>
        <w:t>社会</w:t>
      </w:r>
      <w:r>
        <w:rPr>
          <w:rFonts w:ascii="仿宋" w:eastAsia="仿宋" w:hAnsi="仿宋" w:cs="仿宋"/>
          <w:color w:val="000000"/>
          <w:sz w:val="24"/>
          <w:szCs w:val="24"/>
        </w:rPr>
        <w:t>发展需求</w:t>
      </w:r>
      <w:r>
        <w:rPr>
          <w:rFonts w:ascii="仿宋" w:eastAsia="仿宋" w:hAnsi="仿宋" w:cs="仿宋" w:hint="eastAsia"/>
          <w:color w:val="000000"/>
          <w:sz w:val="24"/>
          <w:szCs w:val="24"/>
        </w:rPr>
        <w:t>为导向，以学科交叉融合促进学科发展为目标，食品科学与工程学科积极推动“从一颗种子到一滴美酒”的纵向全产业链布局，推动食品学科群横向延展，成为西南地区酿酒、食品加工企业重要的技术人才培养基地，</w:t>
      </w:r>
      <w:r>
        <w:rPr>
          <w:rFonts w:ascii="仿宋" w:eastAsia="仿宋" w:hAnsi="仿宋" w:cs="仿宋" w:hint="eastAsia"/>
          <w:sz w:val="24"/>
          <w:szCs w:val="24"/>
        </w:rPr>
        <w:t>紧密结合区域经济，服务地方经济。</w:t>
      </w:r>
      <w:r>
        <w:rPr>
          <w:rFonts w:ascii="仿宋" w:eastAsia="仿宋" w:hAnsi="仿宋" w:cs="仿宋" w:hint="eastAsia"/>
          <w:color w:val="000000"/>
          <w:sz w:val="24"/>
          <w:szCs w:val="24"/>
        </w:rPr>
        <w:t>立项国家级项目 1 项，立项省部级项目 1</w:t>
      </w:r>
      <w:r w:rsidR="00B77E19">
        <w:rPr>
          <w:rFonts w:ascii="仿宋" w:eastAsia="仿宋" w:hAnsi="仿宋" w:cs="仿宋"/>
          <w:color w:val="000000"/>
          <w:sz w:val="24"/>
          <w:szCs w:val="24"/>
        </w:rPr>
        <w:t>3</w:t>
      </w:r>
      <w:r>
        <w:rPr>
          <w:rFonts w:ascii="仿宋" w:eastAsia="仿宋" w:hAnsi="仿宋" w:cs="仿宋" w:hint="eastAsia"/>
          <w:color w:val="000000"/>
          <w:sz w:val="24"/>
          <w:szCs w:val="24"/>
        </w:rPr>
        <w:t>项，承担市厅级重点研究项目</w:t>
      </w:r>
      <w:r w:rsidR="0077677D">
        <w:rPr>
          <w:rFonts w:ascii="仿宋" w:eastAsia="仿宋" w:hAnsi="仿宋" w:cs="仿宋"/>
          <w:color w:val="000000"/>
          <w:sz w:val="24"/>
          <w:szCs w:val="24"/>
        </w:rPr>
        <w:t>8</w:t>
      </w:r>
      <w:r>
        <w:rPr>
          <w:rFonts w:ascii="仿宋" w:eastAsia="仿宋" w:hAnsi="仿宋" w:cs="仿宋" w:hint="eastAsia"/>
          <w:color w:val="000000"/>
          <w:sz w:val="24"/>
          <w:szCs w:val="24"/>
        </w:rPr>
        <w:t>项，承担宜宾市五粮液集团、泸州老窖股份有限公司、丰谷酒业、水井坊等多家企业项目</w:t>
      </w:r>
      <w:r w:rsidR="000A08ED">
        <w:rPr>
          <w:rFonts w:ascii="仿宋" w:eastAsia="仿宋" w:hAnsi="仿宋" w:cs="仿宋"/>
          <w:color w:val="000000"/>
          <w:sz w:val="24"/>
          <w:szCs w:val="24"/>
        </w:rPr>
        <w:t>14</w:t>
      </w:r>
      <w:r>
        <w:rPr>
          <w:rFonts w:ascii="仿宋" w:eastAsia="仿宋" w:hAnsi="仿宋" w:cs="仿宋" w:hint="eastAsia"/>
          <w:color w:val="000000"/>
          <w:sz w:val="24"/>
          <w:szCs w:val="24"/>
        </w:rPr>
        <w:t>余项。</w:t>
      </w:r>
    </w:p>
    <w:p w:rsidR="002B6756" w:rsidRDefault="00000000">
      <w:pPr>
        <w:widowControl/>
        <w:spacing w:line="420" w:lineRule="exact"/>
        <w:ind w:firstLineChars="200" w:firstLine="489"/>
        <w:jc w:val="left"/>
        <w:rPr>
          <w:rFonts w:ascii="仿宋" w:eastAsia="仿宋" w:hAnsi="仿宋" w:cs="仿宋"/>
          <w:b/>
          <w:color w:val="000000"/>
          <w:kern w:val="0"/>
          <w:sz w:val="24"/>
          <w:szCs w:val="24"/>
        </w:rPr>
      </w:pPr>
      <w:bookmarkStart w:id="45" w:name="_Toc6154"/>
      <w:bookmarkStart w:id="46" w:name="_Toc25661855"/>
      <w:bookmarkStart w:id="47" w:name="_Toc25521233"/>
      <w:bookmarkStart w:id="48" w:name="_Toc25680046"/>
      <w:bookmarkStart w:id="49" w:name="_Toc25520982"/>
      <w:bookmarkStart w:id="50" w:name="_Toc16175"/>
      <w:bookmarkStart w:id="51" w:name="_Toc27200"/>
      <w:bookmarkStart w:id="52" w:name="_Toc25520530"/>
      <w:bookmarkStart w:id="53" w:name="_Toc29501"/>
      <w:bookmarkStart w:id="54" w:name="_Toc28200096"/>
      <w:bookmarkStart w:id="55" w:name="_Toc25521493"/>
      <w:bookmarkStart w:id="56" w:name="_Toc25679717"/>
      <w:r>
        <w:rPr>
          <w:rFonts w:ascii="仿宋" w:eastAsia="仿宋" w:hAnsi="仿宋" w:cs="仿宋" w:hint="eastAsia"/>
          <w:b/>
          <w:color w:val="000000"/>
          <w:kern w:val="0"/>
          <w:sz w:val="24"/>
          <w:szCs w:val="24"/>
        </w:rPr>
        <w:t>3.科教协同育人</w:t>
      </w:r>
      <w:bookmarkEnd w:id="45"/>
      <w:bookmarkEnd w:id="46"/>
      <w:bookmarkEnd w:id="47"/>
      <w:bookmarkEnd w:id="48"/>
      <w:bookmarkEnd w:id="49"/>
      <w:bookmarkEnd w:id="50"/>
      <w:bookmarkEnd w:id="51"/>
      <w:bookmarkEnd w:id="52"/>
      <w:bookmarkEnd w:id="53"/>
      <w:bookmarkEnd w:id="54"/>
      <w:bookmarkEnd w:id="55"/>
      <w:bookmarkEnd w:id="56"/>
    </w:p>
    <w:p w:rsidR="00C67B53" w:rsidRDefault="00C67B53" w:rsidP="00C67B53">
      <w:pPr>
        <w:pStyle w:val="1"/>
        <w:adjustRightInd w:val="0"/>
        <w:snapToGrid w:val="0"/>
        <w:spacing w:line="420" w:lineRule="exact"/>
        <w:ind w:firstLine="480"/>
        <w:textAlignment w:val="center"/>
        <w:rPr>
          <w:rFonts w:ascii="仿宋" w:eastAsia="仿宋" w:hAnsi="仿宋" w:cs="仿宋"/>
          <w:sz w:val="24"/>
          <w:szCs w:val="24"/>
        </w:rPr>
      </w:pPr>
      <w:bookmarkStart w:id="57" w:name="_Hlk98924040"/>
      <w:bookmarkStart w:id="58" w:name="_Toc9438"/>
      <w:bookmarkStart w:id="59" w:name="_Toc6209"/>
      <w:bookmarkStart w:id="60" w:name="_Toc64984023"/>
      <w:bookmarkStart w:id="61" w:name="_Toc67060135"/>
      <w:r>
        <w:rPr>
          <w:rFonts w:ascii="仿宋" w:eastAsia="仿宋" w:hAnsi="仿宋" w:cs="仿宋" w:hint="eastAsia"/>
          <w:color w:val="000000"/>
          <w:sz w:val="24"/>
          <w:szCs w:val="24"/>
        </w:rPr>
        <w:t>本学位点积极推进科教协同育人，积极完善高水平科研支撑拔尖创新人才培养机制。</w:t>
      </w:r>
      <w:r>
        <w:rPr>
          <w:rFonts w:ascii="仿宋" w:eastAsia="仿宋" w:hAnsi="仿宋" w:cs="仿宋"/>
          <w:color w:val="000000"/>
          <w:sz w:val="24"/>
          <w:szCs w:val="24"/>
        </w:rPr>
        <w:t>以本学科为基础，融合</w:t>
      </w:r>
      <w:r>
        <w:rPr>
          <w:rFonts w:ascii="仿宋" w:eastAsia="仿宋" w:hAnsi="仿宋" w:cs="仿宋" w:hint="eastAsia"/>
          <w:color w:val="000000"/>
          <w:sz w:val="24"/>
          <w:szCs w:val="24"/>
        </w:rPr>
        <w:t>数学、控制科学与工程</w:t>
      </w:r>
      <w:r>
        <w:rPr>
          <w:rFonts w:ascii="仿宋" w:eastAsia="仿宋" w:hAnsi="仿宋" w:cs="仿宋"/>
          <w:color w:val="000000"/>
          <w:sz w:val="24"/>
          <w:szCs w:val="24"/>
        </w:rPr>
        <w:t>、</w:t>
      </w:r>
      <w:r>
        <w:rPr>
          <w:rFonts w:ascii="仿宋" w:eastAsia="仿宋" w:hAnsi="仿宋" w:cs="仿宋" w:hint="eastAsia"/>
          <w:color w:val="000000"/>
          <w:sz w:val="24"/>
          <w:szCs w:val="24"/>
        </w:rPr>
        <w:t>机械</w:t>
      </w:r>
      <w:r>
        <w:rPr>
          <w:rFonts w:ascii="仿宋" w:eastAsia="仿宋" w:hAnsi="仿宋" w:cs="仿宋"/>
          <w:color w:val="000000"/>
          <w:sz w:val="24"/>
          <w:szCs w:val="24"/>
        </w:rPr>
        <w:t>工程等学科交</w:t>
      </w:r>
      <w:r>
        <w:rPr>
          <w:rFonts w:ascii="仿宋" w:eastAsia="仿宋" w:hAnsi="仿宋" w:cs="仿宋"/>
          <w:sz w:val="24"/>
          <w:szCs w:val="24"/>
        </w:rPr>
        <w:t>叉发展，构建优势团队和多学科支撑平台</w:t>
      </w:r>
      <w:r>
        <w:rPr>
          <w:rFonts w:ascii="仿宋" w:eastAsia="仿宋" w:hAnsi="仿宋" w:cs="仿宋" w:hint="eastAsia"/>
          <w:sz w:val="24"/>
          <w:szCs w:val="24"/>
        </w:rPr>
        <w:t>。</w:t>
      </w:r>
    </w:p>
    <w:p w:rsidR="00C67B53" w:rsidRDefault="00C67B53" w:rsidP="00C67B53">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sz w:val="24"/>
          <w:szCs w:val="24"/>
        </w:rPr>
        <w:t>本学科总结人才培育模式，进行“一二三五”食品科学与工程学科群建设探索与实践，荣获四川轻化工大学首届校级研究生教学成果奖。</w:t>
      </w:r>
    </w:p>
    <w:bookmarkEnd w:id="57"/>
    <w:p w:rsidR="002B6756"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4.承担国内外重大设计与展演任务</w:t>
      </w:r>
      <w:bookmarkEnd w:id="58"/>
      <w:bookmarkEnd w:id="59"/>
      <w:bookmarkEnd w:id="60"/>
      <w:bookmarkEnd w:id="61"/>
    </w:p>
    <w:p w:rsidR="00DD793D" w:rsidRPr="00363D20" w:rsidRDefault="00DD793D" w:rsidP="008E009D">
      <w:pPr>
        <w:pStyle w:val="1"/>
        <w:adjustRightInd w:val="0"/>
        <w:snapToGrid w:val="0"/>
        <w:spacing w:line="420" w:lineRule="exact"/>
        <w:ind w:firstLine="480"/>
        <w:textAlignment w:val="center"/>
        <w:rPr>
          <w:rFonts w:ascii="仿宋" w:eastAsia="仿宋" w:hAnsi="仿宋" w:cs="仿宋"/>
          <w:sz w:val="24"/>
          <w:szCs w:val="24"/>
        </w:rPr>
      </w:pPr>
      <w:r w:rsidRPr="008E009D">
        <w:rPr>
          <w:rFonts w:ascii="仿宋" w:eastAsia="仿宋" w:hAnsi="仿宋" w:cs="仿宋" w:hint="eastAsia"/>
          <w:sz w:val="24"/>
          <w:szCs w:val="24"/>
        </w:rPr>
        <w:t>立项国家级项目“小麦穗发芽抗性调控机制研究”（第三单位）和“浓香型白酒酿造微生物代谢合作及时空生态位自我调控机制”（第一单位）2项，立项</w:t>
      </w:r>
      <w:r w:rsidRPr="00363D20">
        <w:rPr>
          <w:rFonts w:ascii="仿宋" w:eastAsia="仿宋" w:hAnsi="仿宋" w:cs="仿宋" w:hint="eastAsia"/>
          <w:sz w:val="24"/>
          <w:szCs w:val="24"/>
        </w:rPr>
        <w:t>省部级项目 1</w:t>
      </w:r>
      <w:r w:rsidR="002B3B05" w:rsidRPr="00363D20">
        <w:rPr>
          <w:rFonts w:ascii="仿宋" w:eastAsia="仿宋" w:hAnsi="仿宋" w:cs="仿宋"/>
          <w:sz w:val="24"/>
          <w:szCs w:val="24"/>
        </w:rPr>
        <w:t>4</w:t>
      </w:r>
      <w:r w:rsidRPr="00363D20">
        <w:rPr>
          <w:rFonts w:ascii="仿宋" w:eastAsia="仿宋" w:hAnsi="仿宋" w:cs="仿宋" w:hint="eastAsia"/>
          <w:sz w:val="24"/>
          <w:szCs w:val="24"/>
        </w:rPr>
        <w:t>项。</w:t>
      </w:r>
    </w:p>
    <w:p w:rsidR="002B6756" w:rsidRPr="007C1217" w:rsidRDefault="00DD793D" w:rsidP="00DD793D">
      <w:pPr>
        <w:pStyle w:val="1"/>
        <w:tabs>
          <w:tab w:val="left" w:pos="993"/>
        </w:tabs>
        <w:adjustRightInd w:val="0"/>
        <w:snapToGrid w:val="0"/>
        <w:spacing w:line="420" w:lineRule="exact"/>
        <w:ind w:firstLine="480"/>
        <w:textAlignment w:val="center"/>
        <w:rPr>
          <w:rFonts w:ascii="仿宋" w:eastAsia="仿宋" w:hAnsi="仿宋" w:cs="仿宋"/>
          <w:color w:val="000000"/>
          <w:sz w:val="24"/>
          <w:szCs w:val="24"/>
        </w:rPr>
      </w:pPr>
      <w:r w:rsidRPr="00363D20">
        <w:rPr>
          <w:rFonts w:ascii="仿宋" w:eastAsia="仿宋" w:hAnsi="仿宋" w:cs="仿宋" w:hint="eastAsia"/>
          <w:color w:val="000000"/>
          <w:sz w:val="24"/>
          <w:szCs w:val="24"/>
        </w:rPr>
        <w:t>本学科</w:t>
      </w:r>
      <w:r w:rsidR="007C1217" w:rsidRPr="00363D20">
        <w:rPr>
          <w:rFonts w:ascii="仿宋" w:eastAsia="仿宋" w:hAnsi="仿宋" w:cs="仿宋" w:hint="eastAsia"/>
          <w:color w:val="000000"/>
          <w:sz w:val="24"/>
          <w:szCs w:val="24"/>
        </w:rPr>
        <w:t>师生牵头参加2022“五粮液杯”中国大学生酒类创新创意大赛决赛-文创产品设计和包装设计。</w:t>
      </w:r>
    </w:p>
    <w:p w:rsidR="002B6756" w:rsidRPr="007C1217" w:rsidRDefault="00000000">
      <w:pPr>
        <w:widowControl/>
        <w:spacing w:line="420" w:lineRule="exact"/>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五、存在的问题 </w:t>
      </w:r>
    </w:p>
    <w:p w:rsidR="008E009D" w:rsidRDefault="008E009D" w:rsidP="008E009D">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color w:val="000000"/>
          <w:sz w:val="24"/>
          <w:szCs w:val="24"/>
        </w:rPr>
        <w:t>1</w:t>
      </w:r>
      <w:r>
        <w:rPr>
          <w:rFonts w:ascii="仿宋" w:eastAsia="仿宋" w:hAnsi="仿宋" w:cs="仿宋" w:hint="eastAsia"/>
          <w:color w:val="000000"/>
          <w:sz w:val="24"/>
          <w:szCs w:val="24"/>
        </w:rPr>
        <w:t>、生源质量和生源数量有待进一步提升；</w:t>
      </w:r>
    </w:p>
    <w:p w:rsidR="008E009D" w:rsidRDefault="008E009D" w:rsidP="008E009D">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2、“大师”导师，学术骨干导师数量有待进一步加强；</w:t>
      </w:r>
    </w:p>
    <w:p w:rsidR="008E009D" w:rsidRPr="008E009D" w:rsidRDefault="008E009D" w:rsidP="008E009D">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3、学科方向需进一步凝练。</w:t>
      </w:r>
    </w:p>
    <w:p w:rsidR="002B6756" w:rsidRDefault="00000000">
      <w:pPr>
        <w:widowControl/>
        <w:spacing w:line="420" w:lineRule="exact"/>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六、下一年建设计划 </w:t>
      </w:r>
    </w:p>
    <w:p w:rsidR="008E009D" w:rsidRDefault="008E009D" w:rsidP="008E009D">
      <w:pPr>
        <w:widowControl/>
        <w:spacing w:line="420" w:lineRule="exact"/>
        <w:ind w:firstLineChars="200" w:firstLine="489"/>
        <w:jc w:val="left"/>
        <w:rPr>
          <w:rFonts w:ascii="仿宋" w:eastAsia="仿宋" w:hAnsi="仿宋" w:cs="仿宋"/>
          <w:b/>
          <w:color w:val="FF0000"/>
          <w:kern w:val="0"/>
          <w:sz w:val="24"/>
          <w:szCs w:val="24"/>
        </w:rPr>
      </w:pPr>
      <w:r>
        <w:rPr>
          <w:rFonts w:ascii="仿宋" w:eastAsia="仿宋" w:hAnsi="仿宋" w:cs="仿宋" w:hint="eastAsia"/>
          <w:b/>
          <w:color w:val="000000"/>
          <w:kern w:val="0"/>
          <w:sz w:val="24"/>
          <w:szCs w:val="24"/>
        </w:rPr>
        <w:t>1.计划</w:t>
      </w:r>
      <w:r>
        <w:rPr>
          <w:rFonts w:ascii="仿宋" w:eastAsia="仿宋" w:hAnsi="仿宋" w:cs="仿宋" w:hint="eastAsia"/>
          <w:b/>
          <w:kern w:val="0"/>
          <w:sz w:val="24"/>
          <w:szCs w:val="24"/>
        </w:rPr>
        <w:t xml:space="preserve">（改革方向） </w:t>
      </w:r>
    </w:p>
    <w:p w:rsidR="008E009D" w:rsidRDefault="008E009D" w:rsidP="008E009D">
      <w:pPr>
        <w:pStyle w:val="1"/>
        <w:adjustRightInd w:val="0"/>
        <w:snapToGrid w:val="0"/>
        <w:spacing w:line="420" w:lineRule="exact"/>
        <w:ind w:firstLineChars="175"/>
        <w:textAlignment w:val="center"/>
        <w:rPr>
          <w:rFonts w:ascii="仿宋" w:eastAsia="仿宋" w:hAnsi="仿宋" w:cs="仿宋"/>
          <w:color w:val="000000"/>
          <w:sz w:val="24"/>
          <w:szCs w:val="24"/>
        </w:rPr>
      </w:pPr>
      <w:r>
        <w:rPr>
          <w:rFonts w:ascii="仿宋" w:eastAsia="仿宋" w:hAnsi="仿宋" w:cs="仿宋" w:hint="eastAsia"/>
          <w:color w:val="000000"/>
          <w:sz w:val="24"/>
          <w:szCs w:val="24"/>
        </w:rPr>
        <w:t>（1）加强研究生招生宣传和政策支持。食品科学与工程学科将进一步加大招生宣传力度，扩大研究生招生规模，</w:t>
      </w:r>
      <w:r>
        <w:rPr>
          <w:rFonts w:ascii="仿宋" w:eastAsia="仿宋" w:hAnsi="仿宋" w:cs="仿宋"/>
          <w:color w:val="000000"/>
          <w:sz w:val="24"/>
          <w:szCs w:val="24"/>
        </w:rPr>
        <w:t>争取</w:t>
      </w:r>
      <w:r>
        <w:rPr>
          <w:rFonts w:ascii="仿宋" w:eastAsia="仿宋" w:hAnsi="仿宋" w:cs="仿宋" w:hint="eastAsia"/>
          <w:color w:val="000000"/>
          <w:sz w:val="24"/>
          <w:szCs w:val="24"/>
        </w:rPr>
        <w:t>增加</w:t>
      </w:r>
      <w:r>
        <w:rPr>
          <w:rFonts w:ascii="仿宋" w:eastAsia="仿宋" w:hAnsi="仿宋" w:cs="仿宋"/>
          <w:color w:val="000000"/>
          <w:sz w:val="24"/>
          <w:szCs w:val="24"/>
        </w:rPr>
        <w:t>学术型研究生招生指标</w:t>
      </w:r>
      <w:r>
        <w:rPr>
          <w:rFonts w:ascii="仿宋" w:eastAsia="仿宋" w:hAnsi="仿宋" w:cs="仿宋" w:hint="eastAsia"/>
          <w:color w:val="000000"/>
          <w:sz w:val="24"/>
          <w:szCs w:val="24"/>
        </w:rPr>
        <w:t>，增加本学科对优质生源的吸引力和凝聚力。</w:t>
      </w:r>
    </w:p>
    <w:p w:rsidR="008E009D" w:rsidRDefault="008E009D" w:rsidP="008E009D">
      <w:pPr>
        <w:pStyle w:val="1"/>
        <w:adjustRightInd w:val="0"/>
        <w:snapToGrid w:val="0"/>
        <w:spacing w:line="420" w:lineRule="exact"/>
        <w:ind w:firstLineChars="175"/>
        <w:textAlignment w:val="center"/>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2</w:t>
      </w:r>
      <w:r>
        <w:rPr>
          <w:rFonts w:ascii="仿宋" w:eastAsia="仿宋" w:hAnsi="仿宋" w:cs="仿宋" w:hint="eastAsia"/>
          <w:color w:val="000000"/>
          <w:sz w:val="24"/>
          <w:szCs w:val="24"/>
        </w:rPr>
        <w:t>）打造高水平师资队伍。食品科学与工程学科将持续加强师资队伍建设，尤其加强对领军人才的引进和培养。</w:t>
      </w:r>
    </w:p>
    <w:p w:rsidR="008E009D" w:rsidRDefault="008E009D" w:rsidP="008E009D">
      <w:pPr>
        <w:pStyle w:val="1"/>
        <w:adjustRightInd w:val="0"/>
        <w:snapToGrid w:val="0"/>
        <w:spacing w:line="420" w:lineRule="exact"/>
        <w:ind w:firstLineChars="175"/>
        <w:textAlignment w:val="center"/>
        <w:rPr>
          <w:rFonts w:ascii="仿宋" w:eastAsia="仿宋" w:hAnsi="仿宋" w:cs="仿宋"/>
          <w:color w:val="000000"/>
          <w:sz w:val="24"/>
          <w:szCs w:val="24"/>
        </w:rPr>
      </w:pPr>
      <w:r>
        <w:rPr>
          <w:rFonts w:ascii="仿宋" w:eastAsia="仿宋" w:hAnsi="仿宋" w:cs="仿宋" w:hint="eastAsia"/>
          <w:color w:val="000000"/>
          <w:sz w:val="24"/>
          <w:szCs w:val="24"/>
        </w:rPr>
        <w:t>（3）进一步凝练学科方向。食品科学与工程学科将进一步凝练和梳理学科方向，推动白酒全产业链布局，横向带动食品学科群，突出重点，特色发展。</w:t>
      </w:r>
    </w:p>
    <w:p w:rsidR="008E009D" w:rsidRDefault="008E009D" w:rsidP="008E009D">
      <w:pPr>
        <w:widowControl/>
        <w:spacing w:line="420" w:lineRule="exact"/>
        <w:ind w:firstLineChars="200" w:firstLine="489"/>
        <w:jc w:val="left"/>
        <w:rPr>
          <w:rFonts w:ascii="仿宋" w:eastAsia="仿宋" w:hAnsi="仿宋" w:cs="仿宋"/>
          <w:b/>
          <w:color w:val="FF0000"/>
          <w:kern w:val="0"/>
          <w:sz w:val="24"/>
          <w:szCs w:val="24"/>
        </w:rPr>
      </w:pPr>
      <w:r>
        <w:rPr>
          <w:rFonts w:ascii="仿宋" w:eastAsia="仿宋" w:hAnsi="仿宋" w:cs="仿宋" w:hint="eastAsia"/>
          <w:b/>
          <w:color w:val="000000"/>
          <w:kern w:val="0"/>
          <w:sz w:val="24"/>
          <w:szCs w:val="24"/>
        </w:rPr>
        <w:t>2.举</w:t>
      </w:r>
      <w:r>
        <w:rPr>
          <w:rFonts w:ascii="仿宋" w:eastAsia="仿宋" w:hAnsi="仿宋" w:cs="仿宋" w:hint="eastAsia"/>
          <w:b/>
          <w:kern w:val="0"/>
          <w:sz w:val="24"/>
          <w:szCs w:val="24"/>
        </w:rPr>
        <w:t>措（工作重心）</w:t>
      </w:r>
    </w:p>
    <w:p w:rsidR="008E009D" w:rsidRDefault="008E009D" w:rsidP="008E009D">
      <w:pPr>
        <w:pStyle w:val="1"/>
        <w:adjustRightInd w:val="0"/>
        <w:snapToGrid w:val="0"/>
        <w:spacing w:line="420" w:lineRule="exact"/>
        <w:ind w:firstLineChars="175"/>
        <w:textAlignment w:val="center"/>
        <w:rPr>
          <w:rFonts w:ascii="仿宋" w:eastAsia="仿宋" w:hAnsi="仿宋" w:cs="仿宋"/>
          <w:color w:val="000000"/>
          <w:sz w:val="24"/>
          <w:szCs w:val="24"/>
        </w:rPr>
      </w:pPr>
      <w:r>
        <w:rPr>
          <w:rFonts w:ascii="仿宋" w:eastAsia="仿宋" w:hAnsi="仿宋" w:cs="仿宋" w:hint="eastAsia"/>
          <w:color w:val="000000"/>
          <w:sz w:val="24"/>
          <w:szCs w:val="24"/>
        </w:rPr>
        <w:t>招生方面：（1）做好考前宣传工作，一是将学科优势、特点、重点平台介绍给考生，提高第一志愿报考比率；二是教师在教学中把自己研究工作中的工作亮点特色介绍给考生，吸引学生的兴趣；三是开展好暑假拟考学生夏令营活动，提前锁定部分优质生源；（2）加强考后宣传工作，一是针对校内考生，及时锁定校内第一志愿上线考生并动员报考其他学校考生调剂回本校；二是针对校外考生，尤其对生源来源较多的学校，加强现场宣传，吸引优质生源；（3）积极争取政策支持，增加</w:t>
      </w:r>
      <w:r>
        <w:rPr>
          <w:rFonts w:ascii="仿宋" w:eastAsia="仿宋" w:hAnsi="仿宋" w:cs="仿宋"/>
          <w:color w:val="000000"/>
          <w:sz w:val="24"/>
          <w:szCs w:val="24"/>
        </w:rPr>
        <w:t>学术型研究生招生指标</w:t>
      </w:r>
      <w:r>
        <w:rPr>
          <w:rFonts w:ascii="仿宋" w:eastAsia="仿宋" w:hAnsi="仿宋" w:cs="仿宋" w:hint="eastAsia"/>
          <w:color w:val="000000"/>
          <w:sz w:val="24"/>
          <w:szCs w:val="24"/>
        </w:rPr>
        <w:t>。</w:t>
      </w:r>
    </w:p>
    <w:p w:rsidR="008E009D" w:rsidRDefault="008E009D" w:rsidP="008E009D">
      <w:pPr>
        <w:pStyle w:val="1"/>
        <w:adjustRightInd w:val="0"/>
        <w:snapToGrid w:val="0"/>
        <w:spacing w:line="420" w:lineRule="exact"/>
        <w:ind w:firstLineChars="175"/>
        <w:textAlignment w:val="center"/>
        <w:rPr>
          <w:rFonts w:ascii="仿宋" w:eastAsia="仿宋" w:hAnsi="仿宋" w:cs="仿宋"/>
          <w:color w:val="000000"/>
          <w:sz w:val="24"/>
          <w:szCs w:val="24"/>
        </w:rPr>
      </w:pPr>
      <w:r>
        <w:rPr>
          <w:rFonts w:ascii="仿宋" w:eastAsia="仿宋" w:hAnsi="仿宋" w:cs="仿宋" w:hint="eastAsia"/>
          <w:color w:val="000000"/>
          <w:sz w:val="24"/>
          <w:szCs w:val="24"/>
        </w:rPr>
        <w:t>师资队伍培养方面：坚持引育并举，对标学科博士授予点建设要求，创新高层次人才引进和培育工作思路。</w:t>
      </w:r>
    </w:p>
    <w:p w:rsidR="008E009D" w:rsidRDefault="008E009D" w:rsidP="008E009D">
      <w:pPr>
        <w:pStyle w:val="1"/>
        <w:adjustRightInd w:val="0"/>
        <w:snapToGrid w:val="0"/>
        <w:spacing w:line="420" w:lineRule="exact"/>
        <w:ind w:firstLineChars="175"/>
        <w:textAlignment w:val="center"/>
        <w:rPr>
          <w:rFonts w:ascii="仿宋" w:eastAsia="仿宋" w:hAnsi="仿宋" w:cs="仿宋"/>
          <w:color w:val="000000"/>
          <w:sz w:val="24"/>
          <w:szCs w:val="24"/>
        </w:rPr>
      </w:pPr>
      <w:r>
        <w:rPr>
          <w:rFonts w:ascii="仿宋" w:eastAsia="仿宋" w:hAnsi="仿宋" w:cs="仿宋" w:hint="eastAsia"/>
          <w:color w:val="000000"/>
          <w:sz w:val="24"/>
          <w:szCs w:val="24"/>
        </w:rPr>
        <w:t>集中优势资源，围绕酿酒生物技术及应用、预制菜加工技术、生物发酵及应用等领域打造3-4个重点团队，积极扶持、引进学科带头人，培养学术骨干，加大政策倾斜，打造学院头雁人才，参与国家、省、市的重点科研活动，参加各类学术团队、评审委员会活动。</w:t>
      </w:r>
    </w:p>
    <w:p w:rsidR="008E009D" w:rsidRDefault="008E009D" w:rsidP="008E009D">
      <w:pPr>
        <w:pStyle w:val="1"/>
        <w:adjustRightInd w:val="0"/>
        <w:snapToGrid w:val="0"/>
        <w:spacing w:line="420" w:lineRule="exact"/>
        <w:ind w:firstLineChars="175"/>
        <w:textAlignment w:val="center"/>
        <w:rPr>
          <w:rFonts w:ascii="仿宋" w:eastAsia="仿宋" w:hAnsi="仿宋" w:cs="仿宋"/>
          <w:color w:val="000000"/>
          <w:sz w:val="24"/>
          <w:szCs w:val="24"/>
        </w:rPr>
      </w:pPr>
      <w:r>
        <w:rPr>
          <w:rFonts w:ascii="仿宋" w:eastAsia="仿宋" w:hAnsi="仿宋" w:cs="仿宋" w:hint="eastAsia"/>
          <w:color w:val="000000"/>
          <w:sz w:val="24"/>
          <w:szCs w:val="24"/>
        </w:rPr>
        <w:t>针对人才队伍梯队建设问题。加大人才引进力度和精度，新引进人才主要向重点团队和重点方向倾斜，组建高水平创新团队，未来3年根据学科布局，再引进20名以上紧缺人才。</w:t>
      </w:r>
    </w:p>
    <w:p w:rsidR="002B6756" w:rsidRDefault="008E009D" w:rsidP="008E009D">
      <w:pPr>
        <w:widowControl/>
        <w:spacing w:line="420" w:lineRule="exact"/>
        <w:ind w:firstLineChars="200" w:firstLine="480"/>
        <w:jc w:val="left"/>
        <w:rPr>
          <w:rFonts w:ascii="仿宋" w:eastAsia="仿宋" w:hAnsi="仿宋" w:cs="仿宋"/>
          <w:b/>
          <w:color w:val="FF0000"/>
          <w:kern w:val="0"/>
          <w:sz w:val="24"/>
          <w:szCs w:val="24"/>
        </w:rPr>
      </w:pPr>
      <w:r>
        <w:rPr>
          <w:rFonts w:ascii="仿宋" w:eastAsia="仿宋" w:hAnsi="仿宋" w:cs="仿宋" w:hint="eastAsia"/>
          <w:color w:val="000000"/>
          <w:sz w:val="24"/>
          <w:szCs w:val="24"/>
        </w:rPr>
        <w:t>学科方向凝练方面：优化学科方向，聚焦人力、物力和财力，培育骨干团队，打造优势和特色学科方向。继续积极推进“一横一纵”战略，布局酿酒全产业链。以“生物发酵技术”为内核，横贯大食品学科，重点培育白酒酿造、农产品加工、生物发酵等方向，推动食品科学与工程学科群横向延展；以白酒酿造为学科主干，通过重点打造酿酒生物技术及应用四川省重点实验室及酿酒专用粮工程技术中心，与五粮液、泸州老窖等龙头企业深度合作，推动以“从一粒种子到一滴美酒”</w:t>
      </w:r>
      <w:r>
        <w:rPr>
          <w:rFonts w:ascii="仿宋" w:eastAsia="仿宋" w:hAnsi="仿宋" w:cs="仿宋" w:hint="eastAsia"/>
          <w:color w:val="000000"/>
          <w:sz w:val="24"/>
          <w:szCs w:val="24"/>
        </w:rPr>
        <w:lastRenderedPageBreak/>
        <w:t>为特色的全产业链布局，推进白酒学科纵深发展。产教深度融合，支撑学校“立足四川，服务西南，面向全国”战略。</w:t>
      </w:r>
    </w:p>
    <w:sectPr w:rsidR="002B6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1" w:usb1="080E0000" w:usb2="00000000" w:usb3="00000000" w:csb0="00040000" w:csb1="00000000"/>
  </w:font>
  <w:font w:name="楷体_GB2312">
    <w:altName w:val="宋体"/>
    <w:panose1 w:val="020B0604020202020204"/>
    <w:charset w:val="86"/>
    <w:family w:val="modern"/>
    <w:pitch w:val="default"/>
    <w:sig w:usb0="00000001" w:usb1="080E0000" w:usb2="00000000" w:usb3="00000000" w:csb0="00040000" w:csb1="00000000"/>
  </w:font>
  <w:font w:name="微软雅黑">
    <w:altName w:val="Microsoft YaHei"/>
    <w:panose1 w:val="020B0503020204020204"/>
    <w:charset w:val="86"/>
    <w:family w:val="swiss"/>
    <w:pitch w:val="variable"/>
    <w:sig w:usb0="80000287" w:usb1="2ACF3C50" w:usb2="00000016" w:usb3="00000000" w:csb0="0004001F"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MzM2RmZGE0NDMxM2ZkZTBlMzVjZTFjNjk2OWE1NzkifQ=="/>
  </w:docVars>
  <w:rsids>
    <w:rsidRoot w:val="00611AE0"/>
    <w:rsid w:val="00022DEF"/>
    <w:rsid w:val="0008333C"/>
    <w:rsid w:val="000A08ED"/>
    <w:rsid w:val="000B397B"/>
    <w:rsid w:val="000F2C57"/>
    <w:rsid w:val="00127CF9"/>
    <w:rsid w:val="0014419F"/>
    <w:rsid w:val="0015118E"/>
    <w:rsid w:val="001D3291"/>
    <w:rsid w:val="002473AB"/>
    <w:rsid w:val="00267CED"/>
    <w:rsid w:val="002B3B05"/>
    <w:rsid w:val="002B6756"/>
    <w:rsid w:val="002E5782"/>
    <w:rsid w:val="00313F75"/>
    <w:rsid w:val="00332678"/>
    <w:rsid w:val="00332EEB"/>
    <w:rsid w:val="00363D20"/>
    <w:rsid w:val="0037421D"/>
    <w:rsid w:val="003A0304"/>
    <w:rsid w:val="003A64CD"/>
    <w:rsid w:val="003C0148"/>
    <w:rsid w:val="003C2135"/>
    <w:rsid w:val="004112A1"/>
    <w:rsid w:val="00421689"/>
    <w:rsid w:val="00457B94"/>
    <w:rsid w:val="004B3339"/>
    <w:rsid w:val="004F3833"/>
    <w:rsid w:val="00513C86"/>
    <w:rsid w:val="00533D2C"/>
    <w:rsid w:val="0055718A"/>
    <w:rsid w:val="0056299B"/>
    <w:rsid w:val="005D1F93"/>
    <w:rsid w:val="00605B5F"/>
    <w:rsid w:val="00611AE0"/>
    <w:rsid w:val="0062562B"/>
    <w:rsid w:val="00637181"/>
    <w:rsid w:val="00654D50"/>
    <w:rsid w:val="006617DC"/>
    <w:rsid w:val="00694362"/>
    <w:rsid w:val="006E6FD5"/>
    <w:rsid w:val="007050F8"/>
    <w:rsid w:val="00717AD6"/>
    <w:rsid w:val="00740EB5"/>
    <w:rsid w:val="0075003F"/>
    <w:rsid w:val="0075334E"/>
    <w:rsid w:val="0077677D"/>
    <w:rsid w:val="0079676B"/>
    <w:rsid w:val="007C1217"/>
    <w:rsid w:val="007C7DB9"/>
    <w:rsid w:val="007F4C04"/>
    <w:rsid w:val="008141A4"/>
    <w:rsid w:val="00862866"/>
    <w:rsid w:val="00875990"/>
    <w:rsid w:val="00894E1D"/>
    <w:rsid w:val="008E009D"/>
    <w:rsid w:val="00945210"/>
    <w:rsid w:val="0094671B"/>
    <w:rsid w:val="00985CBB"/>
    <w:rsid w:val="009A4770"/>
    <w:rsid w:val="009B4C23"/>
    <w:rsid w:val="009E31D5"/>
    <w:rsid w:val="00A54190"/>
    <w:rsid w:val="00A61940"/>
    <w:rsid w:val="00A96B7D"/>
    <w:rsid w:val="00AC60E8"/>
    <w:rsid w:val="00AF16F9"/>
    <w:rsid w:val="00AF3A0E"/>
    <w:rsid w:val="00B77E19"/>
    <w:rsid w:val="00BF1F29"/>
    <w:rsid w:val="00BF4E06"/>
    <w:rsid w:val="00C67B53"/>
    <w:rsid w:val="00CC2580"/>
    <w:rsid w:val="00CC6B6F"/>
    <w:rsid w:val="00CC6BD6"/>
    <w:rsid w:val="00CE0683"/>
    <w:rsid w:val="00CE6F2F"/>
    <w:rsid w:val="00D3400F"/>
    <w:rsid w:val="00D34999"/>
    <w:rsid w:val="00D46B61"/>
    <w:rsid w:val="00D47B06"/>
    <w:rsid w:val="00D62052"/>
    <w:rsid w:val="00D639EE"/>
    <w:rsid w:val="00D80B91"/>
    <w:rsid w:val="00D84253"/>
    <w:rsid w:val="00D93628"/>
    <w:rsid w:val="00DA2FA1"/>
    <w:rsid w:val="00DB0CD8"/>
    <w:rsid w:val="00DC0591"/>
    <w:rsid w:val="00DD1062"/>
    <w:rsid w:val="00DD793D"/>
    <w:rsid w:val="00E31592"/>
    <w:rsid w:val="00E34FED"/>
    <w:rsid w:val="00E54EC8"/>
    <w:rsid w:val="00ED1F17"/>
    <w:rsid w:val="00EE4C4E"/>
    <w:rsid w:val="00EF2AD1"/>
    <w:rsid w:val="00F82470"/>
    <w:rsid w:val="00F8382B"/>
    <w:rsid w:val="00FF5DD3"/>
    <w:rsid w:val="13063B54"/>
    <w:rsid w:val="23CD6AFB"/>
    <w:rsid w:val="31320090"/>
    <w:rsid w:val="330D7133"/>
    <w:rsid w:val="359567B8"/>
    <w:rsid w:val="479003E6"/>
    <w:rsid w:val="569E568B"/>
    <w:rsid w:val="5DEE707B"/>
    <w:rsid w:val="61B53A89"/>
    <w:rsid w:val="65C24A3F"/>
    <w:rsid w:val="6A82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2B2DC1"/>
  <w15:docId w15:val="{4AEC5770-3967-9B46-A81C-4EB830C8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autoRedefine/>
    <w:qFormat/>
    <w:pPr>
      <w:widowControl w:val="0"/>
      <w:jc w:val="both"/>
    </w:pPr>
    <w:rPr>
      <w:kern w:val="2"/>
      <w:sz w:val="21"/>
      <w:szCs w:val="22"/>
    </w:rPr>
  </w:style>
  <w:style w:type="paragraph" w:styleId="3">
    <w:name w:val="heading 3"/>
    <w:basedOn w:val="a"/>
    <w:next w:val="a"/>
    <w:autoRedefine/>
    <w:qFormat/>
    <w:pPr>
      <w:keepNext/>
      <w:keepLines/>
      <w:spacing w:beforeLines="50" w:before="50" w:afterLines="50" w:after="50"/>
      <w:outlineLvl w:val="2"/>
    </w:pPr>
    <w:rPr>
      <w:rFonts w:eastAsia="方正仿宋简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535405">
      <w:bodyDiv w:val="1"/>
      <w:marLeft w:val="0"/>
      <w:marRight w:val="0"/>
      <w:marTop w:val="0"/>
      <w:marBottom w:val="0"/>
      <w:divBdr>
        <w:top w:val="none" w:sz="0" w:space="0" w:color="auto"/>
        <w:left w:val="none" w:sz="0" w:space="0" w:color="auto"/>
        <w:bottom w:val="none" w:sz="0" w:space="0" w:color="auto"/>
        <w:right w:val="none" w:sz="0" w:space="0" w:color="auto"/>
      </w:divBdr>
      <w:divsChild>
        <w:div w:id="2067100357">
          <w:marLeft w:val="0"/>
          <w:marRight w:val="0"/>
          <w:marTop w:val="0"/>
          <w:marBottom w:val="0"/>
          <w:divBdr>
            <w:top w:val="none" w:sz="0" w:space="0" w:color="auto"/>
            <w:left w:val="none" w:sz="0" w:space="0" w:color="auto"/>
            <w:bottom w:val="none" w:sz="0" w:space="0" w:color="auto"/>
            <w:right w:val="none" w:sz="0" w:space="0" w:color="auto"/>
          </w:divBdr>
          <w:divsChild>
            <w:div w:id="895240314">
              <w:marLeft w:val="0"/>
              <w:marRight w:val="0"/>
              <w:marTop w:val="0"/>
              <w:marBottom w:val="0"/>
              <w:divBdr>
                <w:top w:val="none" w:sz="0" w:space="0" w:color="auto"/>
                <w:left w:val="none" w:sz="0" w:space="0" w:color="auto"/>
                <w:bottom w:val="none" w:sz="0" w:space="0" w:color="auto"/>
                <w:right w:val="none" w:sz="0" w:space="0" w:color="auto"/>
              </w:divBdr>
              <w:divsChild>
                <w:div w:id="1347319451">
                  <w:marLeft w:val="0"/>
                  <w:marRight w:val="0"/>
                  <w:marTop w:val="0"/>
                  <w:marBottom w:val="0"/>
                  <w:divBdr>
                    <w:top w:val="none" w:sz="0" w:space="0" w:color="auto"/>
                    <w:left w:val="none" w:sz="0" w:space="0" w:color="auto"/>
                    <w:bottom w:val="none" w:sz="0" w:space="0" w:color="auto"/>
                    <w:right w:val="none" w:sz="0" w:space="0" w:color="auto"/>
                  </w:divBdr>
                  <w:divsChild>
                    <w:div w:id="11073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906781">
      <w:bodyDiv w:val="1"/>
      <w:marLeft w:val="0"/>
      <w:marRight w:val="0"/>
      <w:marTop w:val="0"/>
      <w:marBottom w:val="0"/>
      <w:divBdr>
        <w:top w:val="none" w:sz="0" w:space="0" w:color="auto"/>
        <w:left w:val="none" w:sz="0" w:space="0" w:color="auto"/>
        <w:bottom w:val="none" w:sz="0" w:space="0" w:color="auto"/>
        <w:right w:val="none" w:sz="0" w:space="0" w:color="auto"/>
      </w:divBdr>
      <w:divsChild>
        <w:div w:id="446773090">
          <w:marLeft w:val="0"/>
          <w:marRight w:val="0"/>
          <w:marTop w:val="0"/>
          <w:marBottom w:val="0"/>
          <w:divBdr>
            <w:top w:val="none" w:sz="0" w:space="0" w:color="auto"/>
            <w:left w:val="none" w:sz="0" w:space="0" w:color="auto"/>
            <w:bottom w:val="none" w:sz="0" w:space="0" w:color="auto"/>
            <w:right w:val="none" w:sz="0" w:space="0" w:color="auto"/>
          </w:divBdr>
          <w:divsChild>
            <w:div w:id="1898585621">
              <w:marLeft w:val="0"/>
              <w:marRight w:val="0"/>
              <w:marTop w:val="0"/>
              <w:marBottom w:val="0"/>
              <w:divBdr>
                <w:top w:val="none" w:sz="0" w:space="0" w:color="auto"/>
                <w:left w:val="none" w:sz="0" w:space="0" w:color="auto"/>
                <w:bottom w:val="none" w:sz="0" w:space="0" w:color="auto"/>
                <w:right w:val="none" w:sz="0" w:space="0" w:color="auto"/>
              </w:divBdr>
              <w:divsChild>
                <w:div w:id="148985772">
                  <w:marLeft w:val="0"/>
                  <w:marRight w:val="0"/>
                  <w:marTop w:val="0"/>
                  <w:marBottom w:val="0"/>
                  <w:divBdr>
                    <w:top w:val="none" w:sz="0" w:space="0" w:color="auto"/>
                    <w:left w:val="none" w:sz="0" w:space="0" w:color="auto"/>
                    <w:bottom w:val="none" w:sz="0" w:space="0" w:color="auto"/>
                    <w:right w:val="none" w:sz="0" w:space="0" w:color="auto"/>
                  </w:divBdr>
                  <w:divsChild>
                    <w:div w:id="16768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6310">
      <w:bodyDiv w:val="1"/>
      <w:marLeft w:val="0"/>
      <w:marRight w:val="0"/>
      <w:marTop w:val="0"/>
      <w:marBottom w:val="0"/>
      <w:divBdr>
        <w:top w:val="none" w:sz="0" w:space="0" w:color="auto"/>
        <w:left w:val="none" w:sz="0" w:space="0" w:color="auto"/>
        <w:bottom w:val="none" w:sz="0" w:space="0" w:color="auto"/>
        <w:right w:val="none" w:sz="0" w:space="0" w:color="auto"/>
      </w:divBdr>
      <w:divsChild>
        <w:div w:id="194925326">
          <w:marLeft w:val="0"/>
          <w:marRight w:val="0"/>
          <w:marTop w:val="0"/>
          <w:marBottom w:val="0"/>
          <w:divBdr>
            <w:top w:val="none" w:sz="0" w:space="0" w:color="auto"/>
            <w:left w:val="none" w:sz="0" w:space="0" w:color="auto"/>
            <w:bottom w:val="none" w:sz="0" w:space="0" w:color="auto"/>
            <w:right w:val="none" w:sz="0" w:space="0" w:color="auto"/>
          </w:divBdr>
          <w:divsChild>
            <w:div w:id="381171796">
              <w:marLeft w:val="0"/>
              <w:marRight w:val="0"/>
              <w:marTop w:val="0"/>
              <w:marBottom w:val="0"/>
              <w:divBdr>
                <w:top w:val="none" w:sz="0" w:space="0" w:color="auto"/>
                <w:left w:val="none" w:sz="0" w:space="0" w:color="auto"/>
                <w:bottom w:val="none" w:sz="0" w:space="0" w:color="auto"/>
                <w:right w:val="none" w:sz="0" w:space="0" w:color="auto"/>
              </w:divBdr>
              <w:divsChild>
                <w:div w:id="2107074805">
                  <w:marLeft w:val="0"/>
                  <w:marRight w:val="0"/>
                  <w:marTop w:val="0"/>
                  <w:marBottom w:val="0"/>
                  <w:divBdr>
                    <w:top w:val="none" w:sz="0" w:space="0" w:color="auto"/>
                    <w:left w:val="none" w:sz="0" w:space="0" w:color="auto"/>
                    <w:bottom w:val="none" w:sz="0" w:space="0" w:color="auto"/>
                    <w:right w:val="none" w:sz="0" w:space="0" w:color="auto"/>
                  </w:divBdr>
                  <w:divsChild>
                    <w:div w:id="10148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52505">
      <w:bodyDiv w:val="1"/>
      <w:marLeft w:val="0"/>
      <w:marRight w:val="0"/>
      <w:marTop w:val="0"/>
      <w:marBottom w:val="0"/>
      <w:divBdr>
        <w:top w:val="none" w:sz="0" w:space="0" w:color="auto"/>
        <w:left w:val="none" w:sz="0" w:space="0" w:color="auto"/>
        <w:bottom w:val="none" w:sz="0" w:space="0" w:color="auto"/>
        <w:right w:val="none" w:sz="0" w:space="0" w:color="auto"/>
      </w:divBdr>
      <w:divsChild>
        <w:div w:id="1526409872">
          <w:marLeft w:val="0"/>
          <w:marRight w:val="0"/>
          <w:marTop w:val="0"/>
          <w:marBottom w:val="0"/>
          <w:divBdr>
            <w:top w:val="none" w:sz="0" w:space="0" w:color="auto"/>
            <w:left w:val="none" w:sz="0" w:space="0" w:color="auto"/>
            <w:bottom w:val="none" w:sz="0" w:space="0" w:color="auto"/>
            <w:right w:val="none" w:sz="0" w:space="0" w:color="auto"/>
          </w:divBdr>
          <w:divsChild>
            <w:div w:id="453644995">
              <w:marLeft w:val="0"/>
              <w:marRight w:val="0"/>
              <w:marTop w:val="0"/>
              <w:marBottom w:val="0"/>
              <w:divBdr>
                <w:top w:val="none" w:sz="0" w:space="0" w:color="auto"/>
                <w:left w:val="none" w:sz="0" w:space="0" w:color="auto"/>
                <w:bottom w:val="none" w:sz="0" w:space="0" w:color="auto"/>
                <w:right w:val="none" w:sz="0" w:space="0" w:color="auto"/>
              </w:divBdr>
              <w:divsChild>
                <w:div w:id="193006276">
                  <w:marLeft w:val="0"/>
                  <w:marRight w:val="0"/>
                  <w:marTop w:val="0"/>
                  <w:marBottom w:val="0"/>
                  <w:divBdr>
                    <w:top w:val="none" w:sz="0" w:space="0" w:color="auto"/>
                    <w:left w:val="none" w:sz="0" w:space="0" w:color="auto"/>
                    <w:bottom w:val="none" w:sz="0" w:space="0" w:color="auto"/>
                    <w:right w:val="none" w:sz="0" w:space="0" w:color="auto"/>
                  </w:divBdr>
                  <w:divsChild>
                    <w:div w:id="1630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70066">
      <w:bodyDiv w:val="1"/>
      <w:marLeft w:val="0"/>
      <w:marRight w:val="0"/>
      <w:marTop w:val="0"/>
      <w:marBottom w:val="0"/>
      <w:divBdr>
        <w:top w:val="none" w:sz="0" w:space="0" w:color="auto"/>
        <w:left w:val="none" w:sz="0" w:space="0" w:color="auto"/>
        <w:bottom w:val="none" w:sz="0" w:space="0" w:color="auto"/>
        <w:right w:val="none" w:sz="0" w:space="0" w:color="auto"/>
      </w:divBdr>
      <w:divsChild>
        <w:div w:id="1216308848">
          <w:marLeft w:val="0"/>
          <w:marRight w:val="0"/>
          <w:marTop w:val="0"/>
          <w:marBottom w:val="0"/>
          <w:divBdr>
            <w:top w:val="none" w:sz="0" w:space="0" w:color="auto"/>
            <w:left w:val="none" w:sz="0" w:space="0" w:color="auto"/>
            <w:bottom w:val="none" w:sz="0" w:space="0" w:color="auto"/>
            <w:right w:val="none" w:sz="0" w:space="0" w:color="auto"/>
          </w:divBdr>
          <w:divsChild>
            <w:div w:id="362676533">
              <w:marLeft w:val="0"/>
              <w:marRight w:val="0"/>
              <w:marTop w:val="0"/>
              <w:marBottom w:val="0"/>
              <w:divBdr>
                <w:top w:val="none" w:sz="0" w:space="0" w:color="auto"/>
                <w:left w:val="none" w:sz="0" w:space="0" w:color="auto"/>
                <w:bottom w:val="none" w:sz="0" w:space="0" w:color="auto"/>
                <w:right w:val="none" w:sz="0" w:space="0" w:color="auto"/>
              </w:divBdr>
              <w:divsChild>
                <w:div w:id="968901954">
                  <w:marLeft w:val="0"/>
                  <w:marRight w:val="0"/>
                  <w:marTop w:val="0"/>
                  <w:marBottom w:val="0"/>
                  <w:divBdr>
                    <w:top w:val="none" w:sz="0" w:space="0" w:color="auto"/>
                    <w:left w:val="none" w:sz="0" w:space="0" w:color="auto"/>
                    <w:bottom w:val="none" w:sz="0" w:space="0" w:color="auto"/>
                    <w:right w:val="none" w:sz="0" w:space="0" w:color="auto"/>
                  </w:divBdr>
                  <w:divsChild>
                    <w:div w:id="14774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12</Pages>
  <Words>1365</Words>
  <Characters>7781</Characters>
  <Application>Microsoft Office Word</Application>
  <DocSecurity>0</DocSecurity>
  <Lines>64</Lines>
  <Paragraphs>18</Paragraphs>
  <ScaleCrop>false</ScaleCrop>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Vistop</dc:creator>
  <cp:lastModifiedBy>Microsoft Office User</cp:lastModifiedBy>
  <cp:revision>93</cp:revision>
  <dcterms:created xsi:type="dcterms:W3CDTF">2022-01-06T03:17:00Z</dcterms:created>
  <dcterms:modified xsi:type="dcterms:W3CDTF">2024-09-12T03:01:00Z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E532BACAFE7840E4BDCE5C31728D36B9</vt:lpwstr>
  </property>
</Properties>
</file>