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800" w:firstLineChars="200"/>
        <w:jc w:val="center"/>
        <w:textAlignment w:val="auto"/>
        <w:rPr>
          <w:rFonts w:hint="eastAsia" w:ascii="宋体" w:hAnsi="宋体" w:eastAsia="宋体" w:cs="宋体"/>
          <w:color w:val="231F20"/>
          <w:sz w:val="40"/>
          <w:szCs w:val="40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z w:val="40"/>
          <w:szCs w:val="40"/>
          <w:lang w:val="zh-CN" w:eastAsia="zh-CN" w:bidi="zh-CN"/>
        </w:rPr>
        <w:t>生物工程学院关于学费减免的评定细则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800" w:firstLineChars="200"/>
        <w:jc w:val="center"/>
        <w:textAlignment w:val="auto"/>
        <w:rPr>
          <w:rFonts w:hint="eastAsia" w:ascii="宋体" w:hAnsi="宋体" w:eastAsia="宋体" w:cs="宋体"/>
          <w:color w:val="231F20"/>
          <w:sz w:val="40"/>
          <w:szCs w:val="40"/>
          <w:lang w:val="zh-CN" w:eastAsia="zh-CN" w:bidi="zh-CN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根据《四川理工学院学费减免办法》文件精神，现结合本院实际情况制定《生物工程学院关于学费减免的评定细则》。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一﹑学费减免的基本申请条件：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1、热爱祖国，拥护中国共产党的领导；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2、遵守宪法和法律，遵守学院的规章制度，无处分记录；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3、当年度的建档贫困生；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4、在校期间学习成绩优异，社会实践﹑创新能力﹑综合素质等方面特别突出；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二﹑根据学生在当年度的学业﹑综合表现，进行积分，按比例换算，择优评定：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（一）学习表现：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1、奖学金：一等奖：5分 ，二等奖：3分 ，三等奖：1分。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（二）科研情况：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1、科技能力及创新：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中文核心期刊发表论文：第一作者5分，第二作者2</w:t>
      </w:r>
      <w:r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  <w:t>分，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第</w:t>
      </w:r>
      <w:r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  <w:t>三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作者1分。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非核心期刊发表论文：第一作者3分，第二作者1分。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发表文学作品：国家级4分，省级2分，校市级1分，院级0.5分（每一年在统一刊物上发表作品最多计2篇）。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校学生科研立项并结题，负责人2分，主研人1分。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发明创造通过成果鉴定：10分。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2、学科竞赛（挑战杯、高数竞赛、物理竞赛、数学建模、英语竞赛、电子设计大赛等）：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国家：一等10分/次，二等8分/次，三等6分/次，优秀4分/次 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省级：一等6分/次，二等5分/次，三等4分/次，优秀3分/次；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校级：一等4分/次，二等3分/次，三等2分/次，优秀1分/次 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（三）社会工作：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1、文体竞赛获奖：（从不参加班团组织活动一票否决）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个人：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国家：一等10分/次，二等8分/次，三等6分/次，优秀4分/次；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省级：一等6分/次，二等5分/次，三等4分/次，优秀3分/次；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校级：一等4分/次，二等3分/次，三等2分/次，优秀1分/次；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院级：一等3分/次，二等2分/次，三等1分/次，优秀0.5分/次。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团体：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国家：一等5分/次，二等4分/次，三等3分/次，优秀2分/次；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省级：一等4分/次，二等3分/次，三等2分/次，优秀1.5分/次；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校级：一等3分/次，二等2分/次，三等1.5分/次，优秀1分/次；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院级：一等2分/次，二等1.5分/次，三等1分/次，优秀0.5分/次。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2、社会实践获奖：省级5分/次，校市级3分/次，院级1分/次。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（四）评优情况：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1、优秀学生干部、三好学生、优秀团干部、优秀团员、优秀治保干部、社会活动积极分子、生工之星、宣传标兵、教学信息员、优秀志愿者、社会实践等评优：省级5分/次，校市级3分/次，院级1分/次。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2、属先进班集体成员：省级4分，校市级2分，院级1分。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（五）任职情况：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 xml:space="preserve">   </w:t>
      </w:r>
    </w:p>
    <w:tbl>
      <w:tblPr>
        <w:tblStyle w:val="2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7"/>
        <w:gridCol w:w="2073"/>
        <w:gridCol w:w="1152"/>
        <w:gridCol w:w="159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职位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学生会主席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学生会部长、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副部长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学生会干事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学生团体负责人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学生团体部长、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副部长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学生团体干事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班长、团支书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其他班委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pacing w:line="240" w:lineRule="auto"/>
              <w:ind w:firstLine="436" w:firstLineChars="200"/>
              <w:textAlignment w:val="auto"/>
              <w:rPr>
                <w:rFonts w:hint="eastAsia" w:ascii="宋体" w:hAnsi="宋体" w:eastAsia="宋体" w:cs="宋体"/>
                <w:color w:val="231F20"/>
                <w:spacing w:val="4"/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en-US" w:eastAsia="zh-CN" w:bidi="zh-CN"/>
        </w:rPr>
      </w:pPr>
      <w:r>
        <w:rPr>
          <w:rFonts w:hint="eastAsia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（</w:t>
      </w:r>
      <w:r>
        <w:rPr>
          <w:rFonts w:hint="eastAsia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六</w:t>
      </w:r>
      <w:r>
        <w:rPr>
          <w:rFonts w:hint="eastAsia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）</w:t>
      </w:r>
      <w:r>
        <w:rPr>
          <w:rFonts w:hint="eastAsia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家庭经济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困难情况：</w:t>
      </w:r>
      <w:r>
        <w:rPr>
          <w:rFonts w:hint="eastAsia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特殊困难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：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10分，困难：6分，一般困难：4分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（七）积分统计：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总分=家庭困难情况×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0%+学习表现、科研情况×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4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0%+社会工作、评优、任职情况×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lang w:val="zh-CN" w:eastAsia="zh-CN" w:bidi="zh-CN"/>
        </w:rPr>
        <w:t>0%</w:t>
      </w:r>
      <w:bookmarkStart w:id="0" w:name="_GoBack"/>
      <w:bookmarkEnd w:id="0"/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三、评选原则：</w:t>
      </w:r>
    </w:p>
    <w:p>
      <w:pPr>
        <w:keepNext w:val="0"/>
        <w:keepLines w:val="0"/>
        <w:pageBreakBefore w:val="0"/>
        <w:shd w:val="clear" w:color="auto" w:fill="FFFFFF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同年内已获有国家奖学金、国家励志奖学金的原则上不再享受；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原则上不连续两年享受学费减免；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若总分相同，可由学院学生资助领导小组研究决定。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学校评选当年有具体政策时按学校要求执行。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四、以下情况之一，不予减免。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1、上一学年内有考试科目不及格的；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2、平时吸烟、酗酒，购买使用高档娱乐消费品的；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3、违反学校规章制度，受到学校纪录处分；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4、不参加学院活动，不遵章守纪。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五﹑评定程序: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1、由学生本人在学校网页上下载申请表并附相关证明材料复印件，无证明则不能获得加分。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2、学院根据学校下达的指标进行评审，择优评定。经公示无异议，上报学校学生工作部。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六﹑本评定办法自</w:t>
      </w:r>
      <w:r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  <w:t>发布之日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  <w:t>开始实施，由生物工程学院学生资助领导小组负责解释。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zh-CN" w:eastAsia="zh-CN" w:bidi="zh-CN"/>
        </w:rPr>
      </w:pP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</w:pPr>
      <w:r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  <w:t xml:space="preserve">                                        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left="6740" w:leftChars="190" w:hanging="6322" w:hangingChars="2900"/>
        <w:textAlignment w:val="auto"/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</w:pPr>
      <w:r>
        <w:rPr>
          <w:rFonts w:hint="eastAsia" w:cs="宋体"/>
          <w:color w:val="231F20"/>
          <w:spacing w:val="4"/>
          <w:sz w:val="21"/>
          <w:szCs w:val="21"/>
          <w:lang w:val="en-US" w:eastAsia="zh-CN" w:bidi="zh-CN"/>
        </w:rPr>
        <w:t xml:space="preserve">                                                        生物工程学院                                              2022年5月25日</w:t>
      </w:r>
    </w:p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spacing w:line="240" w:lineRule="auto"/>
        <w:ind w:firstLine="436" w:firstLineChars="200"/>
        <w:textAlignment w:val="auto"/>
        <w:rPr>
          <w:rFonts w:hint="default" w:cs="宋体"/>
          <w:color w:val="231F20"/>
          <w:spacing w:val="4"/>
          <w:sz w:val="21"/>
          <w:szCs w:val="21"/>
          <w:lang w:val="en-US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C6A07"/>
    <w:rsid w:val="5D334CCE"/>
    <w:rsid w:val="68231DCF"/>
    <w:rsid w:val="726C0B58"/>
    <w:rsid w:val="74DD71FA"/>
    <w:rsid w:val="778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2022-05-25T07:14:00Z</dcterms:created>
  <dc:creator>Administrator</dc:creator>
  <cp:lastModifiedBy>山川</cp:lastModifiedBy>
  <dcterms:modified xsi:type="dcterms:W3CDTF">2022-05-26T06:31:08Z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