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E49" w:rsidRDefault="00000000">
      <w:pPr>
        <w:spacing w:afterLines="50" w:after="156" w:line="480" w:lineRule="auto"/>
        <w:jc w:val="center"/>
        <w:rPr>
          <w:rFonts w:ascii="宋体" w:eastAsia="宋体" w:hAnsi="宋体"/>
          <w:bCs/>
          <w:sz w:val="28"/>
          <w:szCs w:val="28"/>
        </w:rPr>
      </w:pPr>
      <w:r>
        <w:rPr>
          <w:noProof/>
        </w:rPr>
        <w:drawing>
          <wp:inline distT="0" distB="0" distL="0" distR="0">
            <wp:extent cx="4162425" cy="1190625"/>
            <wp:effectExtent l="19050" t="0" r="9525" b="0"/>
            <wp:docPr id="1" name="图片 1" descr="C:\Users\Vistop\AppData\Local\Temp\ksohtml\wps5F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Vistop\AppData\Local\Temp\ksohtml\wps5F6F.tmp.jpg"/>
                    <pic:cNvPicPr>
                      <a:picLocks noChangeAspect="1" noChangeArrowheads="1"/>
                    </pic:cNvPicPr>
                  </pic:nvPicPr>
                  <pic:blipFill>
                    <a:blip r:embed="rId4"/>
                    <a:srcRect/>
                    <a:stretch>
                      <a:fillRect/>
                    </a:stretch>
                  </pic:blipFill>
                  <pic:spPr>
                    <a:xfrm>
                      <a:off x="0" y="0"/>
                      <a:ext cx="4162425" cy="1190625"/>
                    </a:xfrm>
                    <a:prstGeom prst="rect">
                      <a:avLst/>
                    </a:prstGeom>
                    <a:noFill/>
                    <a:ln w="9525">
                      <a:noFill/>
                      <a:miter lim="800000"/>
                      <a:headEnd/>
                      <a:tailEnd/>
                    </a:ln>
                  </pic:spPr>
                </pic:pic>
              </a:graphicData>
            </a:graphic>
          </wp:inline>
        </w:drawing>
      </w:r>
      <w:r>
        <w:rPr>
          <w:rFonts w:ascii="宋体" w:hAnsi="宋体" w:hint="eastAsia"/>
          <w:bCs/>
          <w:sz w:val="28"/>
          <w:szCs w:val="28"/>
        </w:rPr>
        <w:t xml:space="preserve"> </w:t>
      </w:r>
    </w:p>
    <w:p w:rsidR="00DC5E49" w:rsidRDefault="00000000">
      <w:pPr>
        <w:spacing w:beforeLines="100" w:before="312" w:afterLines="50" w:after="156" w:line="480" w:lineRule="auto"/>
        <w:jc w:val="center"/>
        <w:rPr>
          <w:rFonts w:ascii="方正小标宋简体" w:eastAsia="方正小标宋简体" w:hAnsi="宋体"/>
          <w:bCs/>
          <w:sz w:val="52"/>
          <w:szCs w:val="52"/>
        </w:rPr>
      </w:pPr>
      <w:r>
        <w:rPr>
          <w:rFonts w:ascii="黑体" w:eastAsia="黑体" w:hAnsi="黑体" w:hint="eastAsia"/>
          <w:bCs/>
          <w:sz w:val="56"/>
          <w:szCs w:val="56"/>
        </w:rPr>
        <w:t>硕士学位授权点建设年度报告</w:t>
      </w:r>
    </w:p>
    <w:p w:rsidR="00DC5E49" w:rsidRDefault="00000000">
      <w:pPr>
        <w:spacing w:afterLines="50" w:after="156" w:line="560" w:lineRule="exact"/>
        <w:jc w:val="center"/>
        <w:rPr>
          <w:rFonts w:ascii="楷体_GB2312" w:eastAsia="楷体_GB2312"/>
          <w:bCs/>
          <w:sz w:val="32"/>
          <w:szCs w:val="32"/>
        </w:rPr>
      </w:pPr>
      <w:r>
        <w:rPr>
          <w:rFonts w:ascii="楷体_GB2312" w:eastAsia="楷体_GB2312" w:hint="eastAsia"/>
          <w:bCs/>
          <w:sz w:val="32"/>
          <w:szCs w:val="32"/>
        </w:rPr>
        <w:t>（</w:t>
      </w:r>
      <w:r w:rsidR="004A6DC7">
        <w:rPr>
          <w:rFonts w:ascii="楷体_GB2312" w:eastAsia="楷体_GB2312"/>
          <w:bCs/>
          <w:sz w:val="32"/>
          <w:szCs w:val="32"/>
        </w:rPr>
        <w:t>2023</w:t>
      </w:r>
      <w:r>
        <w:rPr>
          <w:rFonts w:ascii="楷体_GB2312" w:eastAsia="楷体_GB2312" w:hint="eastAsia"/>
          <w:bCs/>
          <w:sz w:val="32"/>
          <w:szCs w:val="32"/>
        </w:rPr>
        <w:t>年度）</w:t>
      </w:r>
    </w:p>
    <w:p w:rsidR="00DC5E49" w:rsidRDefault="00000000">
      <w:pPr>
        <w:spacing w:afterLines="50" w:after="156" w:line="560" w:lineRule="exact"/>
        <w:jc w:val="center"/>
        <w:rPr>
          <w:rFonts w:ascii="方正小标宋简体" w:eastAsia="方正小标宋简体" w:hAnsi="宋体"/>
          <w:b/>
          <w:sz w:val="52"/>
          <w:szCs w:val="52"/>
        </w:rPr>
      </w:pPr>
      <w:r>
        <w:rPr>
          <w:rFonts w:ascii="方正小标宋简体" w:eastAsia="方正小标宋简体" w:hAnsi="宋体" w:hint="eastAsia"/>
          <w:b/>
          <w:sz w:val="52"/>
          <w:szCs w:val="52"/>
        </w:rPr>
        <w:t xml:space="preserve"> </w:t>
      </w:r>
    </w:p>
    <w:p w:rsidR="00DC5E49" w:rsidRDefault="00000000">
      <w:pPr>
        <w:spacing w:afterLines="50" w:after="156" w:line="560" w:lineRule="exact"/>
        <w:jc w:val="center"/>
        <w:rPr>
          <w:rFonts w:ascii="方正小标宋简体" w:eastAsia="方正小标宋简体" w:hAnsi="宋体"/>
          <w:b/>
          <w:sz w:val="52"/>
          <w:szCs w:val="52"/>
        </w:rPr>
      </w:pPr>
      <w:r>
        <w:rPr>
          <w:rFonts w:ascii="方正小标宋简体" w:eastAsia="方正小标宋简体" w:hAnsi="宋体" w:hint="eastAsia"/>
          <w:b/>
          <w:sz w:val="52"/>
          <w:szCs w:val="52"/>
        </w:rPr>
        <w:t xml:space="preserve"> </w:t>
      </w:r>
    </w:p>
    <w:tbl>
      <w:tblPr>
        <w:tblW w:w="0" w:type="auto"/>
        <w:jc w:val="center"/>
        <w:tblLayout w:type="fixed"/>
        <w:tblLook w:val="04A0" w:firstRow="1" w:lastRow="0" w:firstColumn="1" w:lastColumn="0" w:noHBand="0" w:noVBand="1"/>
      </w:tblPr>
      <w:tblGrid>
        <w:gridCol w:w="6763"/>
      </w:tblGrid>
      <w:tr w:rsidR="00DC5E49">
        <w:trPr>
          <w:jc w:val="center"/>
        </w:trPr>
        <w:tc>
          <w:tcPr>
            <w:tcW w:w="6763" w:type="dxa"/>
            <w:tcBorders>
              <w:top w:val="nil"/>
              <w:left w:val="nil"/>
              <w:bottom w:val="nil"/>
              <w:right w:val="nil"/>
            </w:tcBorders>
          </w:tcPr>
          <w:p w:rsidR="00DC5E49" w:rsidRDefault="00000000">
            <w:pPr>
              <w:spacing w:line="600" w:lineRule="auto"/>
              <w:jc w:val="left"/>
              <w:rPr>
                <w:rFonts w:ascii="楷体_GB2312" w:eastAsia="楷体_GB2312"/>
                <w:bCs/>
                <w:sz w:val="30"/>
                <w:szCs w:val="30"/>
                <w:u w:val="single"/>
              </w:rPr>
            </w:pPr>
            <w:r>
              <w:rPr>
                <w:rFonts w:ascii="楷体_GB2312" w:eastAsia="楷体_GB2312" w:hint="eastAsia"/>
                <w:bCs/>
                <w:sz w:val="30"/>
                <w:szCs w:val="30"/>
              </w:rPr>
              <w:t>专业学位类别名称：</w:t>
            </w:r>
            <w:r>
              <w:rPr>
                <w:rFonts w:eastAsia="楷体_GB2312"/>
                <w:bCs/>
                <w:sz w:val="30"/>
                <w:szCs w:val="30"/>
                <w:u w:val="single"/>
              </w:rPr>
              <w:t xml:space="preserve">   </w:t>
            </w:r>
            <w:r w:rsidR="004A6DC7">
              <w:rPr>
                <w:rFonts w:eastAsia="楷体_GB2312" w:hint="eastAsia"/>
                <w:bCs/>
                <w:sz w:val="30"/>
                <w:szCs w:val="30"/>
                <w:u w:val="single"/>
              </w:rPr>
              <w:t>生物与医药</w:t>
            </w:r>
            <w:r>
              <w:rPr>
                <w:rFonts w:ascii="楷体_GB2312" w:eastAsia="楷体_GB2312" w:hint="eastAsia"/>
                <w:bCs/>
                <w:sz w:val="30"/>
                <w:szCs w:val="30"/>
                <w:u w:val="single"/>
              </w:rPr>
              <w:t xml:space="preserve"> </w:t>
            </w:r>
            <w:r>
              <w:rPr>
                <w:rFonts w:eastAsia="楷体_GB2312"/>
                <w:bCs/>
                <w:sz w:val="30"/>
                <w:szCs w:val="30"/>
                <w:u w:val="single"/>
              </w:rPr>
              <w:t xml:space="preserve">                                      </w:t>
            </w:r>
          </w:p>
          <w:p w:rsidR="00DC5E49" w:rsidRDefault="00000000">
            <w:pPr>
              <w:spacing w:line="600" w:lineRule="auto"/>
              <w:jc w:val="left"/>
              <w:rPr>
                <w:rFonts w:ascii="楷体_GB2312" w:eastAsia="楷体_GB2312"/>
                <w:bCs/>
                <w:sz w:val="30"/>
                <w:szCs w:val="30"/>
              </w:rPr>
            </w:pPr>
            <w:r>
              <w:rPr>
                <w:rFonts w:ascii="楷体_GB2312" w:eastAsia="楷体_GB2312" w:hint="eastAsia"/>
                <w:bCs/>
                <w:sz w:val="30"/>
                <w:szCs w:val="30"/>
              </w:rPr>
              <w:t>专业学位类别代码：</w:t>
            </w:r>
            <w:r>
              <w:rPr>
                <w:rFonts w:eastAsia="楷体_GB2312"/>
                <w:bCs/>
                <w:sz w:val="30"/>
                <w:szCs w:val="30"/>
                <w:u w:val="single"/>
              </w:rPr>
              <w:t xml:space="preserve">   </w:t>
            </w:r>
            <w:r w:rsidR="004A6DC7">
              <w:rPr>
                <w:rFonts w:eastAsia="楷体_GB2312"/>
                <w:bCs/>
                <w:sz w:val="30"/>
                <w:szCs w:val="30"/>
                <w:u w:val="single"/>
              </w:rPr>
              <w:t>0860</w:t>
            </w:r>
            <w:r>
              <w:rPr>
                <w:rFonts w:eastAsia="楷体_GB2312"/>
                <w:bCs/>
                <w:sz w:val="30"/>
                <w:szCs w:val="30"/>
                <w:u w:val="single"/>
              </w:rPr>
              <w:t xml:space="preserve">                                       </w:t>
            </w:r>
          </w:p>
          <w:p w:rsidR="00DC5E49" w:rsidRDefault="00000000">
            <w:pPr>
              <w:spacing w:line="600" w:lineRule="auto"/>
              <w:jc w:val="left"/>
              <w:rPr>
                <w:rFonts w:ascii="楷体_GB2312" w:eastAsia="楷体_GB2312"/>
                <w:bCs/>
                <w:sz w:val="30"/>
                <w:szCs w:val="30"/>
                <w:u w:val="single"/>
              </w:rPr>
            </w:pPr>
            <w:r>
              <w:rPr>
                <w:rFonts w:ascii="楷体_GB2312" w:eastAsia="楷体_GB2312" w:hint="eastAsia"/>
                <w:bCs/>
                <w:kern w:val="0"/>
                <w:sz w:val="30"/>
                <w:szCs w:val="30"/>
              </w:rPr>
              <w:t>学位点负责人：</w:t>
            </w:r>
            <w:r>
              <w:rPr>
                <w:rFonts w:eastAsia="楷体_GB2312"/>
                <w:bCs/>
                <w:sz w:val="30"/>
                <w:szCs w:val="30"/>
                <w:u w:val="single"/>
              </w:rPr>
              <w:t xml:space="preserve">       </w:t>
            </w:r>
            <w:r w:rsidR="004A6DC7">
              <w:rPr>
                <w:rFonts w:eastAsia="楷体_GB2312" w:hint="eastAsia"/>
                <w:bCs/>
                <w:sz w:val="30"/>
                <w:szCs w:val="30"/>
                <w:u w:val="single"/>
              </w:rPr>
              <w:t>李东</w:t>
            </w:r>
            <w:r>
              <w:rPr>
                <w:rFonts w:eastAsia="楷体_GB2312"/>
                <w:bCs/>
                <w:sz w:val="30"/>
                <w:szCs w:val="30"/>
                <w:u w:val="single"/>
              </w:rPr>
              <w:t xml:space="preserve">       </w:t>
            </w:r>
            <w:r>
              <w:rPr>
                <w:rFonts w:ascii="楷体_GB2312" w:eastAsia="楷体_GB2312" w:hint="eastAsia"/>
                <w:bCs/>
                <w:sz w:val="30"/>
                <w:szCs w:val="30"/>
                <w:u w:val="single"/>
              </w:rPr>
              <w:t xml:space="preserve"> </w:t>
            </w:r>
            <w:r>
              <w:rPr>
                <w:rFonts w:eastAsia="楷体_GB2312"/>
                <w:bCs/>
                <w:sz w:val="30"/>
                <w:szCs w:val="30"/>
                <w:u w:val="single"/>
              </w:rPr>
              <w:t xml:space="preserve">                                               </w:t>
            </w:r>
          </w:p>
          <w:p w:rsidR="00DC5E49" w:rsidRDefault="00000000">
            <w:pPr>
              <w:spacing w:line="600" w:lineRule="auto"/>
              <w:jc w:val="left"/>
              <w:rPr>
                <w:rFonts w:ascii="楷体_GB2312" w:eastAsia="楷体_GB2312"/>
                <w:bCs/>
                <w:sz w:val="30"/>
                <w:szCs w:val="30"/>
                <w:u w:val="single"/>
              </w:rPr>
            </w:pPr>
            <w:r>
              <w:rPr>
                <w:rFonts w:ascii="楷体_GB2312" w:eastAsia="楷体_GB2312" w:hint="eastAsia"/>
                <w:bCs/>
                <w:sz w:val="30"/>
                <w:szCs w:val="30"/>
              </w:rPr>
              <w:t>所属学院：</w:t>
            </w:r>
            <w:r>
              <w:rPr>
                <w:rFonts w:eastAsia="楷体_GB2312"/>
                <w:bCs/>
                <w:kern w:val="0"/>
                <w:sz w:val="30"/>
                <w:szCs w:val="30"/>
                <w:u w:val="single"/>
              </w:rPr>
              <w:t xml:space="preserve"> </w:t>
            </w:r>
            <w:r>
              <w:rPr>
                <w:rFonts w:eastAsia="楷体_GB2312"/>
                <w:bCs/>
                <w:sz w:val="30"/>
                <w:szCs w:val="30"/>
                <w:u w:val="single"/>
              </w:rPr>
              <w:t xml:space="preserve">          </w:t>
            </w:r>
            <w:r w:rsidR="004A6DC7">
              <w:rPr>
                <w:rFonts w:eastAsia="楷体_GB2312" w:hint="eastAsia"/>
                <w:bCs/>
                <w:sz w:val="30"/>
                <w:szCs w:val="30"/>
                <w:u w:val="single"/>
              </w:rPr>
              <w:t>生物工程学院</w:t>
            </w:r>
            <w:r>
              <w:rPr>
                <w:rFonts w:eastAsia="楷体_GB2312"/>
                <w:bCs/>
                <w:sz w:val="30"/>
                <w:szCs w:val="30"/>
                <w:u w:val="single"/>
              </w:rPr>
              <w:t xml:space="preserve">                                                             </w:t>
            </w:r>
          </w:p>
          <w:p w:rsidR="00DC5E49" w:rsidRDefault="00000000">
            <w:pPr>
              <w:spacing w:line="600" w:lineRule="auto"/>
              <w:jc w:val="left"/>
              <w:rPr>
                <w:rFonts w:ascii="楷体_GB2312" w:eastAsia="楷体_GB2312"/>
                <w:b/>
                <w:sz w:val="30"/>
                <w:szCs w:val="30"/>
              </w:rPr>
            </w:pPr>
            <w:r>
              <w:rPr>
                <w:rFonts w:ascii="楷体_GB2312" w:eastAsia="楷体_GB2312" w:hint="eastAsia"/>
                <w:bCs/>
                <w:sz w:val="30"/>
                <w:szCs w:val="30"/>
              </w:rPr>
              <w:t>所属学院负责人：</w:t>
            </w:r>
            <w:r>
              <w:rPr>
                <w:rFonts w:eastAsia="楷体_GB2312"/>
                <w:bCs/>
                <w:sz w:val="30"/>
                <w:szCs w:val="30"/>
                <w:u w:val="single"/>
              </w:rPr>
              <w:t xml:space="preserve">     </w:t>
            </w:r>
            <w:r w:rsidR="004A6DC7">
              <w:rPr>
                <w:rFonts w:eastAsia="楷体_GB2312" w:hint="eastAsia"/>
                <w:bCs/>
                <w:sz w:val="30"/>
                <w:szCs w:val="30"/>
                <w:u w:val="single"/>
              </w:rPr>
              <w:t>赵志峰</w:t>
            </w:r>
            <w:r>
              <w:rPr>
                <w:rFonts w:eastAsia="楷体_GB2312"/>
                <w:bCs/>
                <w:sz w:val="30"/>
                <w:szCs w:val="30"/>
                <w:u w:val="single"/>
              </w:rPr>
              <w:t xml:space="preserve">       </w:t>
            </w:r>
            <w:r>
              <w:rPr>
                <w:rFonts w:ascii="楷体_GB2312" w:eastAsia="楷体_GB2312" w:hint="eastAsia"/>
                <w:bCs/>
                <w:sz w:val="30"/>
                <w:szCs w:val="30"/>
                <w:u w:val="single"/>
              </w:rPr>
              <w:t xml:space="preserve"> </w:t>
            </w:r>
            <w:r>
              <w:rPr>
                <w:rFonts w:eastAsia="楷体_GB2312"/>
                <w:bCs/>
                <w:sz w:val="30"/>
                <w:szCs w:val="30"/>
                <w:u w:val="single"/>
              </w:rPr>
              <w:t xml:space="preserve">                                            </w:t>
            </w:r>
            <w:r>
              <w:rPr>
                <w:rFonts w:eastAsia="楷体_GB2312"/>
                <w:sz w:val="30"/>
                <w:szCs w:val="30"/>
                <w:u w:val="single"/>
              </w:rPr>
              <w:t xml:space="preserve"> </w:t>
            </w:r>
          </w:p>
        </w:tc>
      </w:tr>
    </w:tbl>
    <w:p w:rsidR="00DC5E49" w:rsidRDefault="00000000">
      <w:pPr>
        <w:jc w:val="left"/>
        <w:rPr>
          <w:rFonts w:ascii="楷体_GB2312" w:eastAsia="楷体_GB2312" w:hAnsi="Times New Roman" w:cs="Times New Roman"/>
          <w:b/>
          <w:sz w:val="30"/>
          <w:szCs w:val="30"/>
        </w:rPr>
      </w:pPr>
      <w:r>
        <w:rPr>
          <w:rFonts w:ascii="楷体_GB2312" w:eastAsia="楷体_GB2312" w:hint="eastAsia"/>
          <w:b/>
          <w:sz w:val="30"/>
          <w:szCs w:val="30"/>
        </w:rPr>
        <w:t xml:space="preserve"> </w:t>
      </w:r>
    </w:p>
    <w:p w:rsidR="00DC5E49" w:rsidRDefault="00DC5E49">
      <w:pPr>
        <w:spacing w:afterLines="50" w:after="156" w:line="560" w:lineRule="exact"/>
        <w:rPr>
          <w:rFonts w:ascii="楷体_GB2312" w:eastAsia="楷体_GB2312"/>
          <w:b/>
          <w:kern w:val="0"/>
          <w:sz w:val="30"/>
          <w:szCs w:val="30"/>
          <w:u w:val="single"/>
        </w:rPr>
      </w:pPr>
    </w:p>
    <w:p w:rsidR="00DC5E49" w:rsidRDefault="00000000">
      <w:pPr>
        <w:spacing w:afterLines="50" w:after="156" w:line="560" w:lineRule="exact"/>
        <w:rPr>
          <w:rFonts w:ascii="Times New Roman" w:eastAsia="楷体_GB2312"/>
          <w:b/>
          <w:kern w:val="0"/>
          <w:sz w:val="30"/>
          <w:szCs w:val="30"/>
        </w:rPr>
      </w:pPr>
      <w:r>
        <w:rPr>
          <w:rFonts w:eastAsia="楷体_GB2312"/>
          <w:b/>
          <w:kern w:val="0"/>
          <w:sz w:val="30"/>
          <w:szCs w:val="30"/>
        </w:rPr>
        <w:t xml:space="preserve"> </w:t>
      </w:r>
    </w:p>
    <w:p w:rsidR="00DC5E49" w:rsidRDefault="00000000">
      <w:pPr>
        <w:jc w:val="center"/>
        <w:rPr>
          <w:rFonts w:eastAsia="楷体_GB2312"/>
          <w:b/>
          <w:sz w:val="30"/>
          <w:szCs w:val="30"/>
        </w:rPr>
      </w:pPr>
      <w:r>
        <w:rPr>
          <w:rFonts w:eastAsia="楷体_GB2312"/>
          <w:b/>
          <w:sz w:val="30"/>
          <w:szCs w:val="30"/>
        </w:rPr>
        <w:t xml:space="preserve"> </w:t>
      </w:r>
    </w:p>
    <w:p w:rsidR="00DC5E49" w:rsidRDefault="00000000">
      <w:pPr>
        <w:jc w:val="center"/>
        <w:rPr>
          <w:rFonts w:eastAsia="楷体_GB2312"/>
          <w:bCs/>
          <w:sz w:val="30"/>
          <w:szCs w:val="30"/>
        </w:rPr>
      </w:pPr>
      <w:r>
        <w:rPr>
          <w:rFonts w:eastAsia="楷体_GB2312"/>
          <w:bCs/>
          <w:sz w:val="30"/>
          <w:szCs w:val="30"/>
        </w:rPr>
        <w:t>20</w:t>
      </w:r>
      <w:r>
        <w:rPr>
          <w:rFonts w:eastAsia="楷体_GB2312" w:hint="eastAsia"/>
          <w:bCs/>
          <w:sz w:val="30"/>
          <w:szCs w:val="30"/>
        </w:rPr>
        <w:t>2</w:t>
      </w:r>
      <w:r w:rsidR="00EE6F4E">
        <w:rPr>
          <w:rFonts w:eastAsia="楷体_GB2312"/>
          <w:bCs/>
          <w:sz w:val="30"/>
          <w:szCs w:val="30"/>
        </w:rPr>
        <w:t>3</w:t>
      </w:r>
      <w:r>
        <w:rPr>
          <w:rFonts w:eastAsia="楷体_GB2312" w:hint="eastAsia"/>
          <w:bCs/>
          <w:sz w:val="30"/>
          <w:szCs w:val="30"/>
        </w:rPr>
        <w:t xml:space="preserve">  </w:t>
      </w:r>
      <w:r>
        <w:rPr>
          <w:rFonts w:ascii="楷体_GB2312" w:eastAsia="楷体_GB2312"/>
          <w:bCs/>
          <w:sz w:val="30"/>
          <w:szCs w:val="30"/>
        </w:rPr>
        <w:t>年</w:t>
      </w:r>
      <w:r>
        <w:rPr>
          <w:rFonts w:ascii="楷体_GB2312" w:eastAsia="楷体_GB2312" w:hint="eastAsia"/>
          <w:bCs/>
          <w:sz w:val="30"/>
          <w:szCs w:val="30"/>
        </w:rPr>
        <w:t xml:space="preserve"> </w:t>
      </w:r>
      <w:r>
        <w:rPr>
          <w:rFonts w:eastAsia="楷体_GB2312" w:hint="eastAsia"/>
          <w:bCs/>
          <w:sz w:val="30"/>
          <w:szCs w:val="30"/>
        </w:rPr>
        <w:t xml:space="preserve">12 </w:t>
      </w:r>
      <w:r>
        <w:rPr>
          <w:rFonts w:ascii="楷体_GB2312" w:eastAsia="楷体_GB2312"/>
          <w:bCs/>
          <w:sz w:val="30"/>
          <w:szCs w:val="30"/>
        </w:rPr>
        <w:t>月</w:t>
      </w:r>
    </w:p>
    <w:p w:rsidR="00DC5E49" w:rsidRDefault="00000000">
      <w:pPr>
        <w:spacing w:line="480" w:lineRule="exact"/>
        <w:ind w:right="-85"/>
        <w:jc w:val="center"/>
        <w:rPr>
          <w:rFonts w:ascii="黑体" w:eastAsia="黑体" w:hAnsi="黑体"/>
          <w:sz w:val="32"/>
          <w:szCs w:val="32"/>
        </w:rPr>
      </w:pPr>
      <w:r>
        <w:rPr>
          <w:rFonts w:eastAsia="楷体_GB2312"/>
          <w:bCs/>
          <w:sz w:val="30"/>
          <w:szCs w:val="30"/>
        </w:rPr>
        <w:br w:type="page"/>
      </w:r>
      <w:r>
        <w:rPr>
          <w:rFonts w:ascii="黑体" w:eastAsia="黑体" w:hAnsi="黑体" w:hint="eastAsia"/>
          <w:sz w:val="32"/>
          <w:szCs w:val="32"/>
        </w:rPr>
        <w:lastRenderedPageBreak/>
        <w:t>填表说明</w:t>
      </w:r>
    </w:p>
    <w:p w:rsidR="00DC5E49" w:rsidRDefault="00000000">
      <w:pPr>
        <w:spacing w:line="480" w:lineRule="exact"/>
        <w:ind w:right="-85"/>
        <w:jc w:val="center"/>
        <w:rPr>
          <w:rFonts w:ascii="黑体" w:eastAsia="黑体" w:hAnsi="黑体"/>
          <w:sz w:val="32"/>
          <w:szCs w:val="32"/>
        </w:rPr>
      </w:pPr>
      <w:r>
        <w:rPr>
          <w:rFonts w:ascii="黑体" w:eastAsia="黑体" w:hAnsi="黑体" w:hint="eastAsia"/>
          <w:sz w:val="32"/>
          <w:szCs w:val="32"/>
        </w:rPr>
        <w:t xml:space="preserve"> </w:t>
      </w:r>
    </w:p>
    <w:p w:rsidR="00DC5E49"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1.本报告中涉及的人员均指人事关系隶属本单位的在编人员以及与本单位签署全职工作合同的专任教师（含外籍教师），兼职人员不计在内；涉及的成果（论文、专著、专利、教材、科研奖项、教学成果等）均指署名第一单位获得的成果。</w:t>
      </w:r>
    </w:p>
    <w:p w:rsidR="00DC5E49"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2.本报告中，涉及状态信息的数据（学位授权点概况、师资队伍情况），统计时间点为202</w:t>
      </w:r>
      <w:r>
        <w:rPr>
          <w:rFonts w:ascii="仿宋" w:eastAsia="仿宋" w:hAnsi="仿宋" w:hint="eastAsia"/>
          <w:sz w:val="30"/>
          <w:szCs w:val="30"/>
          <w:u w:val="single"/>
        </w:rPr>
        <w:t xml:space="preserve"> </w:t>
      </w:r>
      <w:r w:rsidR="009E083C">
        <w:rPr>
          <w:rFonts w:ascii="仿宋" w:eastAsia="仿宋" w:hAnsi="仿宋"/>
          <w:sz w:val="30"/>
          <w:szCs w:val="30"/>
          <w:u w:val="single"/>
        </w:rPr>
        <w:t>3</w:t>
      </w:r>
      <w:r>
        <w:rPr>
          <w:rFonts w:ascii="仿宋" w:eastAsia="仿宋" w:hAnsi="仿宋" w:hint="eastAsia"/>
          <w:sz w:val="30"/>
          <w:szCs w:val="30"/>
          <w:u w:val="single"/>
        </w:rPr>
        <w:t xml:space="preserve"> </w:t>
      </w:r>
      <w:r>
        <w:rPr>
          <w:rFonts w:ascii="仿宋" w:eastAsia="仿宋" w:hAnsi="仿宋" w:hint="eastAsia"/>
          <w:sz w:val="30"/>
          <w:szCs w:val="30"/>
        </w:rPr>
        <w:t>年12月31日；其他涉及过程信息的数据（科学研究、人才培养、服务贡献相关数据），统计时间段为202</w:t>
      </w:r>
      <w:r>
        <w:rPr>
          <w:rFonts w:ascii="仿宋" w:eastAsia="仿宋" w:hAnsi="仿宋" w:hint="eastAsia"/>
          <w:sz w:val="30"/>
          <w:szCs w:val="30"/>
          <w:u w:val="single"/>
        </w:rPr>
        <w:t xml:space="preserve"> </w:t>
      </w:r>
      <w:r w:rsidR="009E083C">
        <w:rPr>
          <w:rFonts w:ascii="仿宋" w:eastAsia="仿宋" w:hAnsi="仿宋"/>
          <w:sz w:val="30"/>
          <w:szCs w:val="30"/>
          <w:u w:val="single"/>
        </w:rPr>
        <w:t>3</w:t>
      </w:r>
      <w:r>
        <w:rPr>
          <w:rFonts w:ascii="仿宋" w:eastAsia="仿宋" w:hAnsi="仿宋" w:hint="eastAsia"/>
          <w:sz w:val="30"/>
          <w:szCs w:val="30"/>
          <w:u w:val="single"/>
        </w:rPr>
        <w:t xml:space="preserve"> </w:t>
      </w:r>
      <w:r>
        <w:rPr>
          <w:rFonts w:ascii="仿宋" w:eastAsia="仿宋" w:hAnsi="仿宋" w:hint="eastAsia"/>
          <w:sz w:val="30"/>
          <w:szCs w:val="30"/>
        </w:rPr>
        <w:t>年1月1日至202</w:t>
      </w:r>
      <w:r>
        <w:rPr>
          <w:rFonts w:ascii="仿宋" w:eastAsia="仿宋" w:hAnsi="仿宋" w:hint="eastAsia"/>
          <w:sz w:val="30"/>
          <w:szCs w:val="30"/>
          <w:u w:val="single"/>
        </w:rPr>
        <w:t xml:space="preserve"> </w:t>
      </w:r>
      <w:r w:rsidR="009E083C">
        <w:rPr>
          <w:rFonts w:ascii="仿宋" w:eastAsia="仿宋" w:hAnsi="仿宋"/>
          <w:sz w:val="30"/>
          <w:szCs w:val="30"/>
          <w:u w:val="single"/>
        </w:rPr>
        <w:t>3</w:t>
      </w:r>
      <w:r>
        <w:rPr>
          <w:rFonts w:ascii="仿宋" w:eastAsia="仿宋" w:hAnsi="仿宋" w:hint="eastAsia"/>
          <w:sz w:val="30"/>
          <w:szCs w:val="30"/>
          <w:u w:val="single"/>
        </w:rPr>
        <w:t xml:space="preserve"> </w:t>
      </w:r>
      <w:r>
        <w:rPr>
          <w:rFonts w:ascii="仿宋" w:eastAsia="仿宋" w:hAnsi="仿宋" w:hint="eastAsia"/>
          <w:sz w:val="30"/>
          <w:szCs w:val="30"/>
        </w:rPr>
        <w:t>年12月31日。</w:t>
      </w:r>
    </w:p>
    <w:p w:rsidR="00DC5E49"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3.科研经费应是本学位点实际获得并计入本单位财务账目的经费。</w:t>
      </w:r>
    </w:p>
    <w:p w:rsidR="00DC5E49" w:rsidRDefault="00000000">
      <w:pPr>
        <w:spacing w:line="480" w:lineRule="exact"/>
        <w:ind w:right="-85" w:firstLineChars="200" w:firstLine="600"/>
        <w:rPr>
          <w:rFonts w:ascii="仿宋" w:eastAsia="仿宋" w:hAnsi="仿宋"/>
          <w:sz w:val="30"/>
          <w:szCs w:val="30"/>
        </w:rPr>
      </w:pPr>
      <w:r>
        <w:rPr>
          <w:rFonts w:ascii="仿宋" w:eastAsia="仿宋" w:hAnsi="仿宋" w:hint="eastAsia"/>
          <w:sz w:val="30"/>
          <w:szCs w:val="30"/>
        </w:rPr>
        <w:t>4.本表不得填写任何涉密内容，涉密信息须按国家和军队保密规定进行脱密处理。</w:t>
      </w:r>
    </w:p>
    <w:p w:rsidR="00DC5E49" w:rsidRDefault="00000000">
      <w:pPr>
        <w:rPr>
          <w:rFonts w:ascii="Times New Roman" w:eastAsia="宋体" w:hAnsi="Times New Roman"/>
          <w:szCs w:val="21"/>
        </w:rPr>
      </w:pPr>
      <w:r>
        <w:rPr>
          <w:rFonts w:ascii="仿宋" w:eastAsia="仿宋" w:hAnsi="仿宋" w:hint="eastAsia"/>
          <w:sz w:val="30"/>
          <w:szCs w:val="30"/>
        </w:rPr>
        <w:br w:type="page"/>
      </w:r>
    </w:p>
    <w:p w:rsidR="00DC5E49"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lastRenderedPageBreak/>
        <w:t xml:space="preserve">一、学位授权点基本情况 </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1.培养目标</w:t>
      </w:r>
    </w:p>
    <w:p w:rsidR="00DC5E49" w:rsidRDefault="00BA0F83">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坚持“为党育人、为国育才”初心，全面落实立德树人的根本任务，按照党和国家的教育方针，培养德智体美劳全面发展，具有服务国家人民的社会责任感，良好的职业道德和创业精神，科学严谨、求真务实的学习态度和工作作风，具有良好的道德品质、学术修养、学术诚信、合作精神，身心健康，面向生物技术、医药、食品、发酵行业领域从事技术开发与应用、工程设计与实施、技术攻关与改造、工程规划与管理等方面的基础扎实、素质全面、工程实践能力强，并具有一定创新能力的应用型、复合型高层次工程技术和工程管理人才。</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2.学位标准</w:t>
      </w:r>
    </w:p>
    <w:p w:rsidR="00DC5E49" w:rsidRDefault="00C15DD8">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本学位点根据新的文件《四川轻化工大学硕士学位授予工作细则》（川轻化〔2022〕17号）要求对学位授予标准进行了修订，编制了《四川轻化工大学生物与医药硕士专业学位授予标准》，已从2</w:t>
      </w:r>
      <w:r>
        <w:rPr>
          <w:rFonts w:ascii="仿宋" w:eastAsia="仿宋" w:hAnsi="仿宋" w:cs="仿宋"/>
          <w:color w:val="000000"/>
          <w:sz w:val="24"/>
          <w:szCs w:val="24"/>
        </w:rPr>
        <w:t>023</w:t>
      </w:r>
      <w:r>
        <w:rPr>
          <w:rFonts w:ascii="仿宋" w:eastAsia="仿宋" w:hAnsi="仿宋" w:cs="仿宋" w:hint="eastAsia"/>
          <w:color w:val="000000"/>
          <w:sz w:val="24"/>
          <w:szCs w:val="24"/>
        </w:rPr>
        <w:t>级研究生开始执行。</w:t>
      </w:r>
    </w:p>
    <w:p w:rsidR="00DC5E49"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二、基本条件 </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1.专业领域</w:t>
      </w:r>
    </w:p>
    <w:p w:rsidR="00DA568F" w:rsidRDefault="00DA568F" w:rsidP="00DA568F">
      <w:pPr>
        <w:pStyle w:val="1"/>
        <w:adjustRightInd w:val="0"/>
        <w:snapToGrid w:val="0"/>
        <w:spacing w:line="420" w:lineRule="exact"/>
        <w:ind w:firstLineChars="0"/>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（1）生物技术与工程（086001）</w:t>
      </w:r>
    </w:p>
    <w:p w:rsidR="00DA568F" w:rsidRDefault="00DA568F" w:rsidP="00DA568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涵盖基因工程、细胞工程、酶工程、生物化学工程、合成生物技术等方向。围绕“多专业、多技术、多行业”工程交叉特点，运用生物技术手段研究和解决各工程领域产品生产、技术改进过程中的生命科学问题。着力于生物工程产业的改进和现代化新型生物工业的建立。</w:t>
      </w:r>
    </w:p>
    <w:p w:rsidR="00DA568F" w:rsidRDefault="00DA568F" w:rsidP="00DA568F">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w:t>
      </w:r>
      <w:r>
        <w:rPr>
          <w:rFonts w:ascii="仿宋" w:eastAsia="仿宋" w:hAnsi="仿宋" w:cs="仿宋"/>
          <w:b/>
          <w:bCs/>
          <w:color w:val="000000"/>
          <w:sz w:val="24"/>
          <w:szCs w:val="24"/>
        </w:rPr>
        <w:t>2</w:t>
      </w:r>
      <w:r>
        <w:rPr>
          <w:rFonts w:ascii="仿宋" w:eastAsia="仿宋" w:hAnsi="仿宋" w:cs="仿宋" w:hint="eastAsia"/>
          <w:b/>
          <w:bCs/>
          <w:color w:val="000000"/>
          <w:sz w:val="24"/>
          <w:szCs w:val="24"/>
        </w:rPr>
        <w:t>）制药工程（086002）</w:t>
      </w:r>
    </w:p>
    <w:p w:rsidR="00DA568F" w:rsidRDefault="00DA568F" w:rsidP="00DA568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涵盖药物合成技术与工艺、天然药物研究与开发、微生物与生化药物研究、基因工程药物研究与开发等方向；以生物医药产业发展需求为导向，面向药物研发生产一线，开展药物非临床研究、药品制造过程技术与设备、药品生产质量管理等研究。</w:t>
      </w:r>
    </w:p>
    <w:p w:rsidR="00DA568F" w:rsidRDefault="00DA568F" w:rsidP="00DA568F">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w:t>
      </w:r>
      <w:r>
        <w:rPr>
          <w:rFonts w:ascii="仿宋" w:eastAsia="仿宋" w:hAnsi="仿宋" w:cs="仿宋"/>
          <w:b/>
          <w:bCs/>
          <w:color w:val="000000"/>
          <w:sz w:val="24"/>
          <w:szCs w:val="24"/>
        </w:rPr>
        <w:t>3</w:t>
      </w:r>
      <w:r>
        <w:rPr>
          <w:rFonts w:ascii="仿宋" w:eastAsia="仿宋" w:hAnsi="仿宋" w:cs="仿宋" w:hint="eastAsia"/>
          <w:b/>
          <w:bCs/>
          <w:color w:val="000000"/>
          <w:sz w:val="24"/>
          <w:szCs w:val="24"/>
        </w:rPr>
        <w:t>）食品工程（086003）</w:t>
      </w:r>
    </w:p>
    <w:p w:rsidR="00DA568F" w:rsidRDefault="00DA568F" w:rsidP="00DA568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涵盖食品生物工程、健康食品工程、食品大分子材料、食品绿色加工、食品安全等方向。紧密结合区域经济发展，面向川南农产品加工产业，开展现代农产品加工原理与工艺、食品质量与安全控制技术、食品产业发展规划等方面的工程研究。</w:t>
      </w:r>
    </w:p>
    <w:p w:rsidR="00DA568F" w:rsidRDefault="00DA568F" w:rsidP="00DA568F">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w:t>
      </w:r>
      <w:r>
        <w:rPr>
          <w:rFonts w:ascii="仿宋" w:eastAsia="仿宋" w:hAnsi="仿宋" w:cs="仿宋"/>
          <w:b/>
          <w:bCs/>
          <w:color w:val="000000"/>
          <w:sz w:val="24"/>
          <w:szCs w:val="24"/>
        </w:rPr>
        <w:t>4</w:t>
      </w:r>
      <w:r>
        <w:rPr>
          <w:rFonts w:ascii="仿宋" w:eastAsia="仿宋" w:hAnsi="仿宋" w:cs="仿宋" w:hint="eastAsia"/>
          <w:b/>
          <w:bCs/>
          <w:color w:val="000000"/>
          <w:sz w:val="24"/>
          <w:szCs w:val="24"/>
        </w:rPr>
        <w:t>）发酵工程（086004）</w:t>
      </w:r>
    </w:p>
    <w:p w:rsidR="00DA568F" w:rsidRDefault="00DA568F" w:rsidP="00DA568F">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lastRenderedPageBreak/>
        <w:t>涵盖酿造功能菌选育、酿造生物技术及应用、酿造过程分析与调控、酿酒机械化与智能化等方向。面向川南发酵、酿酒产业需求，促进传统发酵工业的改造与发展。</w:t>
      </w:r>
    </w:p>
    <w:p w:rsidR="00DA568F" w:rsidRPr="00DA568F" w:rsidRDefault="00DA568F" w:rsidP="00DA568F">
      <w:pPr>
        <w:pStyle w:val="1"/>
        <w:adjustRightInd w:val="0"/>
        <w:snapToGrid w:val="0"/>
        <w:spacing w:line="420" w:lineRule="exact"/>
        <w:ind w:firstLine="480"/>
        <w:textAlignment w:val="center"/>
        <w:rPr>
          <w:rFonts w:ascii="仿宋" w:eastAsia="仿宋" w:hAnsi="仿宋" w:cs="仿宋"/>
          <w:color w:val="000000"/>
          <w:sz w:val="24"/>
          <w:szCs w:val="24"/>
        </w:rPr>
      </w:pP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2.师资队伍</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bookmarkStart w:id="0" w:name="_Toc1634"/>
      <w:bookmarkStart w:id="1" w:name="_Toc25520497"/>
      <w:bookmarkStart w:id="2" w:name="_Toc46646309"/>
      <w:bookmarkStart w:id="3" w:name="_Toc25679684"/>
      <w:bookmarkStart w:id="4" w:name="_Toc25521200"/>
      <w:bookmarkStart w:id="5" w:name="_Toc22024"/>
      <w:bookmarkStart w:id="6" w:name="_Toc10674"/>
      <w:bookmarkStart w:id="7" w:name="_Toc25521460"/>
      <w:bookmarkStart w:id="8" w:name="_Toc25680013"/>
      <w:bookmarkStart w:id="9" w:name="_Toc46646175"/>
      <w:bookmarkStart w:id="10" w:name="_Toc81917337"/>
      <w:bookmarkStart w:id="11" w:name="_Toc25520949"/>
      <w:bookmarkStart w:id="12" w:name="_Toc81916627"/>
      <w:bookmarkStart w:id="13" w:name="_Toc46997689"/>
      <w:bookmarkStart w:id="14" w:name="_Toc28200059"/>
      <w:bookmarkStart w:id="15" w:name="_Toc8544"/>
      <w:bookmarkStart w:id="16" w:name="_Toc25661822"/>
      <w:r>
        <w:rPr>
          <w:rFonts w:ascii="仿宋" w:eastAsia="仿宋" w:hAnsi="仿宋" w:cs="仿宋" w:hint="eastAsia"/>
          <w:b/>
          <w:color w:val="000000"/>
          <w:kern w:val="0"/>
          <w:sz w:val="24"/>
          <w:szCs w:val="24"/>
        </w:rPr>
        <w:t>（1）专任教师</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DA568F" w:rsidRDefault="00DA568F" w:rsidP="00DA568F">
      <w:pPr>
        <w:widowControl/>
        <w:spacing w:line="420" w:lineRule="exact"/>
        <w:ind w:firstLineChars="200" w:firstLine="489"/>
        <w:jc w:val="left"/>
        <w:rPr>
          <w:rFonts w:ascii="仿宋" w:eastAsia="仿宋" w:hAnsi="仿宋" w:cs="仿宋"/>
          <w:b/>
          <w:kern w:val="0"/>
          <w:sz w:val="24"/>
          <w:szCs w:val="24"/>
        </w:rPr>
      </w:pPr>
      <w:bookmarkStart w:id="17" w:name="_Toc81917336"/>
      <w:bookmarkStart w:id="18" w:name="_Toc81916626"/>
      <w:bookmarkStart w:id="19" w:name="_Toc5779"/>
      <w:bookmarkStart w:id="20" w:name="_Toc11476"/>
      <w:bookmarkStart w:id="21" w:name="_Toc25520947"/>
      <w:bookmarkStart w:id="22" w:name="_Toc25679682"/>
      <w:bookmarkStart w:id="23" w:name="_Toc17854"/>
      <w:bookmarkStart w:id="24" w:name="_Toc29494"/>
      <w:bookmarkStart w:id="25" w:name="_Toc28200057"/>
      <w:bookmarkStart w:id="26" w:name="_Toc25680011"/>
      <w:bookmarkStart w:id="27" w:name="_Toc46997688"/>
      <w:bookmarkStart w:id="28" w:name="_Toc25661820"/>
      <w:bookmarkStart w:id="29" w:name="_Toc25521458"/>
      <w:bookmarkStart w:id="30" w:name="_Toc25520495"/>
      <w:bookmarkStart w:id="31" w:name="_Toc25521198"/>
      <w:bookmarkStart w:id="32" w:name="_Toc46646174"/>
      <w:bookmarkStart w:id="33" w:name="_Toc46646308"/>
      <w:r>
        <w:rPr>
          <w:rFonts w:ascii="仿宋" w:eastAsia="仿宋" w:hAnsi="仿宋" w:cs="仿宋" w:hint="eastAsia"/>
          <w:b/>
          <w:kern w:val="0"/>
          <w:sz w:val="24"/>
          <w:szCs w:val="24"/>
        </w:rPr>
        <w:t>（1）校内专任教师</w:t>
      </w:r>
    </w:p>
    <w:p w:rsidR="00DA568F" w:rsidRDefault="00DA568F" w:rsidP="00DA568F">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sz w:val="24"/>
          <w:szCs w:val="24"/>
        </w:rPr>
        <w:t>本授权点现有专任教师5</w:t>
      </w:r>
      <w:r>
        <w:rPr>
          <w:rFonts w:ascii="仿宋" w:eastAsia="仿宋" w:hAnsi="仿宋" w:cs="仿宋"/>
          <w:sz w:val="24"/>
          <w:szCs w:val="24"/>
        </w:rPr>
        <w:t>8</w:t>
      </w:r>
      <w:r>
        <w:rPr>
          <w:rFonts w:ascii="仿宋" w:eastAsia="仿宋" w:hAnsi="仿宋" w:cs="仿宋" w:hint="eastAsia"/>
          <w:sz w:val="24"/>
          <w:szCs w:val="24"/>
        </w:rPr>
        <w:t>人，45岁以下比例为</w:t>
      </w:r>
      <w:r>
        <w:rPr>
          <w:rFonts w:ascii="仿宋" w:eastAsia="仿宋" w:hAnsi="仿宋" w:cs="仿宋"/>
          <w:sz w:val="24"/>
          <w:szCs w:val="24"/>
        </w:rPr>
        <w:t>69</w:t>
      </w:r>
      <w:r>
        <w:rPr>
          <w:rFonts w:ascii="仿宋" w:eastAsia="仿宋" w:hAnsi="仿宋" w:cs="仿宋" w:hint="eastAsia"/>
          <w:sz w:val="24"/>
          <w:szCs w:val="24"/>
        </w:rPr>
        <w:t>%，7</w:t>
      </w:r>
      <w:r>
        <w:rPr>
          <w:rFonts w:ascii="仿宋" w:eastAsia="仿宋" w:hAnsi="仿宋" w:cs="仿宋"/>
          <w:sz w:val="24"/>
          <w:szCs w:val="24"/>
        </w:rPr>
        <w:t>7</w:t>
      </w:r>
      <w:r>
        <w:rPr>
          <w:rFonts w:ascii="仿宋" w:eastAsia="仿宋" w:hAnsi="仿宋" w:cs="仿宋" w:hint="eastAsia"/>
          <w:sz w:val="24"/>
          <w:szCs w:val="24"/>
        </w:rPr>
        <w:t>.</w:t>
      </w:r>
      <w:r>
        <w:rPr>
          <w:rFonts w:ascii="仿宋" w:eastAsia="仿宋" w:hAnsi="仿宋" w:cs="仿宋"/>
          <w:sz w:val="24"/>
          <w:szCs w:val="24"/>
        </w:rPr>
        <w:t>6</w:t>
      </w:r>
      <w:r>
        <w:rPr>
          <w:rFonts w:ascii="仿宋" w:eastAsia="仿宋" w:hAnsi="仿宋" w:cs="仿宋" w:hint="eastAsia"/>
          <w:sz w:val="24"/>
          <w:szCs w:val="24"/>
        </w:rPr>
        <w:t>%具有博士学位，</w:t>
      </w:r>
      <w:r>
        <w:rPr>
          <w:rFonts w:ascii="仿宋" w:eastAsia="仿宋" w:hAnsi="仿宋" w:cs="仿宋"/>
          <w:sz w:val="24"/>
          <w:szCs w:val="24"/>
        </w:rPr>
        <w:t>91</w:t>
      </w:r>
      <w:r>
        <w:rPr>
          <w:rFonts w:ascii="仿宋" w:eastAsia="仿宋" w:hAnsi="仿宋" w:cs="仿宋" w:hint="eastAsia"/>
          <w:sz w:val="24"/>
          <w:szCs w:val="24"/>
        </w:rPr>
        <w:t>.</w:t>
      </w:r>
      <w:r>
        <w:rPr>
          <w:rFonts w:ascii="仿宋" w:eastAsia="仿宋" w:hAnsi="仿宋" w:cs="仿宋"/>
          <w:sz w:val="24"/>
          <w:szCs w:val="24"/>
        </w:rPr>
        <w:t>4</w:t>
      </w:r>
      <w:r>
        <w:rPr>
          <w:rFonts w:ascii="仿宋" w:eastAsia="仿宋" w:hAnsi="仿宋" w:cs="仿宋" w:hint="eastAsia"/>
          <w:sz w:val="24"/>
          <w:szCs w:val="24"/>
        </w:rPr>
        <w:t>%获得外单位硕士及以上学位。校内师资中</w:t>
      </w:r>
      <w:r>
        <w:rPr>
          <w:rFonts w:ascii="仿宋" w:eastAsia="仿宋" w:hAnsi="仿宋" w:cs="仿宋"/>
          <w:sz w:val="24"/>
          <w:szCs w:val="24"/>
        </w:rPr>
        <w:t>74.1</w:t>
      </w:r>
      <w:r>
        <w:rPr>
          <w:rFonts w:ascii="仿宋" w:eastAsia="仿宋" w:hAnsi="仿宋" w:cs="仿宋" w:hint="eastAsia"/>
          <w:sz w:val="24"/>
          <w:szCs w:val="24"/>
        </w:rPr>
        <w:t>%具有实践经验，均参与过本单位或其他单位硕士研究生的指导工作。</w:t>
      </w:r>
    </w:p>
    <w:p w:rsidR="00DA568F" w:rsidRDefault="00DA568F" w:rsidP="00DA568F">
      <w:pPr>
        <w:widowControl/>
        <w:spacing w:line="420" w:lineRule="exact"/>
        <w:ind w:firstLineChars="200" w:firstLine="489"/>
        <w:jc w:val="left"/>
        <w:rPr>
          <w:rFonts w:ascii="仿宋" w:eastAsia="仿宋" w:hAnsi="仿宋" w:cs="仿宋"/>
          <w:b/>
          <w:kern w:val="0"/>
          <w:sz w:val="24"/>
          <w:szCs w:val="24"/>
        </w:rPr>
      </w:pPr>
      <w:r>
        <w:rPr>
          <w:rFonts w:ascii="仿宋" w:eastAsia="仿宋" w:hAnsi="仿宋" w:cs="仿宋" w:hint="eastAsia"/>
          <w:b/>
          <w:kern w:val="0"/>
          <w:sz w:val="24"/>
          <w:szCs w:val="24"/>
        </w:rPr>
        <w:t>（</w:t>
      </w:r>
      <w:r>
        <w:rPr>
          <w:rFonts w:ascii="仿宋" w:eastAsia="仿宋" w:hAnsi="仿宋" w:cs="仿宋"/>
          <w:b/>
          <w:kern w:val="0"/>
          <w:sz w:val="24"/>
          <w:szCs w:val="24"/>
        </w:rPr>
        <w:t>2</w:t>
      </w:r>
      <w:r>
        <w:rPr>
          <w:rFonts w:ascii="仿宋" w:eastAsia="仿宋" w:hAnsi="仿宋" w:cs="仿宋" w:hint="eastAsia"/>
          <w:b/>
          <w:kern w:val="0"/>
          <w:sz w:val="24"/>
          <w:szCs w:val="24"/>
        </w:rPr>
        <w:t>）校外师资队伍</w:t>
      </w:r>
    </w:p>
    <w:p w:rsidR="00DC5E49" w:rsidRPr="00DA568F" w:rsidRDefault="00DA568F" w:rsidP="00DA568F">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sz w:val="24"/>
          <w:szCs w:val="24"/>
        </w:rPr>
        <w:t>目前本学位授权点聘有校外导师/专业实践导师总计</w:t>
      </w:r>
      <w:r>
        <w:rPr>
          <w:rFonts w:ascii="仿宋" w:eastAsia="仿宋" w:hAnsi="仿宋" w:cs="仿宋"/>
          <w:sz w:val="24"/>
          <w:szCs w:val="24"/>
        </w:rPr>
        <w:t>45</w:t>
      </w:r>
      <w:r>
        <w:rPr>
          <w:rFonts w:ascii="仿宋" w:eastAsia="仿宋" w:hAnsi="仿宋" w:cs="仿宋" w:hint="eastAsia"/>
          <w:sz w:val="24"/>
          <w:szCs w:val="24"/>
        </w:rPr>
        <w:t>名。均为高级职称或在行业工作时间十年左右，实践经验丰富，能够完成专业硕士实习实践工作安排和指导。</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（2）师德师风</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E0C70" w:rsidRDefault="005E0C70" w:rsidP="005E0C7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在师德师风建设方面，2020年四川轻化工大学成立了以校党委书记、校长为组长的师德师风建设工作领导小组，并下发了《四川轻化工大学关于进一步加强和改进师德师风建设的实施意见》（川轻化委〔2020〕29 号）和《四川轻化工大学教师师德失范行为负面清单及处理办法（试行）》（川轻化委〔2019〕110 号），本学位点严格执行相关制度，202</w:t>
      </w:r>
      <w:r>
        <w:rPr>
          <w:rFonts w:ascii="仿宋" w:eastAsia="仿宋" w:hAnsi="仿宋" w:cs="仿宋"/>
          <w:color w:val="000000"/>
          <w:sz w:val="24"/>
          <w:szCs w:val="24"/>
        </w:rPr>
        <w:t>3</w:t>
      </w:r>
      <w:r>
        <w:rPr>
          <w:rFonts w:ascii="仿宋" w:eastAsia="仿宋" w:hAnsi="仿宋" w:cs="仿宋" w:hint="eastAsia"/>
          <w:color w:val="000000"/>
          <w:sz w:val="24"/>
          <w:szCs w:val="24"/>
        </w:rPr>
        <w:t>年度未发现任何师德师风负面问题情况。</w:t>
      </w:r>
    </w:p>
    <w:p w:rsidR="00DC5E49" w:rsidRPr="002F4740" w:rsidRDefault="005E0C70" w:rsidP="002F474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在师德师风教育、宣传方面，202</w:t>
      </w:r>
      <w:r w:rsidR="00922B22">
        <w:rPr>
          <w:rFonts w:ascii="仿宋" w:eastAsia="仿宋" w:hAnsi="仿宋" w:cs="仿宋"/>
          <w:color w:val="000000"/>
          <w:sz w:val="24"/>
          <w:szCs w:val="24"/>
        </w:rPr>
        <w:t>3</w:t>
      </w:r>
      <w:r>
        <w:rPr>
          <w:rFonts w:ascii="仿宋" w:eastAsia="仿宋" w:hAnsi="仿宋" w:cs="仿宋" w:hint="eastAsia"/>
          <w:color w:val="000000"/>
          <w:sz w:val="24"/>
          <w:szCs w:val="24"/>
        </w:rPr>
        <w:t>年度本学位点集中开展师德师风教育</w:t>
      </w:r>
      <w:r>
        <w:rPr>
          <w:rFonts w:ascii="仿宋" w:eastAsia="仿宋" w:hAnsi="仿宋" w:cs="仿宋"/>
          <w:color w:val="000000"/>
          <w:sz w:val="24"/>
          <w:szCs w:val="24"/>
        </w:rPr>
        <w:t>4</w:t>
      </w:r>
      <w:r>
        <w:rPr>
          <w:rFonts w:ascii="仿宋" w:eastAsia="仿宋" w:hAnsi="仿宋" w:cs="仿宋" w:hint="eastAsia"/>
          <w:color w:val="000000"/>
          <w:sz w:val="24"/>
          <w:szCs w:val="24"/>
        </w:rPr>
        <w:t>次，组织全体导师参加教育部“暑期教师研修班”线上学习</w:t>
      </w:r>
      <w:r>
        <w:rPr>
          <w:rFonts w:ascii="仿宋" w:eastAsia="仿宋" w:hAnsi="仿宋" w:cs="仿宋"/>
          <w:color w:val="000000"/>
          <w:sz w:val="24"/>
          <w:szCs w:val="24"/>
        </w:rPr>
        <w:t>1</w:t>
      </w:r>
      <w:r>
        <w:rPr>
          <w:rFonts w:ascii="仿宋" w:eastAsia="仿宋" w:hAnsi="仿宋" w:cs="仿宋" w:hint="eastAsia"/>
          <w:color w:val="000000"/>
          <w:sz w:val="24"/>
          <w:szCs w:val="24"/>
        </w:rPr>
        <w:t>次，并通过学院OA系统、QQ工作群、微信群等多种途径，对导师进行师德师风教育。</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（3）导师遴选</w:t>
      </w:r>
    </w:p>
    <w:p w:rsidR="009606DD" w:rsidRDefault="009606DD" w:rsidP="009606D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为建设一支高素质的硕士研究生指导教师队伍，保证硕士研究生的培养质量和水平，根据国务院学位委员会、教育部的有关规定和《教育部关于全面落实研究生导师立德树人职责的意见》(教研〔2018〕1号)、《四川轻化工大学全面落实研究生导师立德树人职责实施细则》（川轻化〔2022〕50号）等文件精神，更好地做好我校硕士研究生指导教师资格遴选、上岗聘任和管理等工作，学校修订了《四川轻化工大学硕士研究指导教师/专业实践导师/留学生导师遴选聘任管理办法》，出台了《硕士研究生指导教师管理与考核办法（试行）》，对导师进行聘期考核。同时学院制订相应上岗考核实施办法，对导师进行年度考核。此外，每位导师上岗前都要进行岗前培训，立德树人教育，签订立德树人承诺书。根据《四</w:t>
      </w:r>
      <w:r>
        <w:rPr>
          <w:rFonts w:ascii="仿宋" w:eastAsia="仿宋" w:hAnsi="仿宋" w:cs="仿宋" w:hint="eastAsia"/>
          <w:color w:val="000000"/>
          <w:sz w:val="24"/>
          <w:szCs w:val="24"/>
        </w:rPr>
        <w:lastRenderedPageBreak/>
        <w:t>川轻化工大学优秀研究生指导教师评选办法》评优评奖。目前生物与医药导师选聘、培训、考核总体运行良好，导师考核均合格，指导学生成果丰硕。</w:t>
      </w:r>
      <w:r>
        <w:rPr>
          <w:rFonts w:ascii="仿宋" w:eastAsia="仿宋" w:hAnsi="仿宋" w:cs="仿宋" w:hint="eastAsia"/>
          <w:sz w:val="24"/>
          <w:szCs w:val="24"/>
        </w:rPr>
        <w:t>授权点在202</w:t>
      </w:r>
      <w:r>
        <w:rPr>
          <w:rFonts w:ascii="仿宋" w:eastAsia="仿宋" w:hAnsi="仿宋" w:cs="仿宋"/>
          <w:sz w:val="24"/>
          <w:szCs w:val="24"/>
        </w:rPr>
        <w:t>3</w:t>
      </w:r>
      <w:r>
        <w:rPr>
          <w:rFonts w:ascii="仿宋" w:eastAsia="仿宋" w:hAnsi="仿宋" w:cs="仿宋" w:hint="eastAsia"/>
          <w:sz w:val="24"/>
          <w:szCs w:val="24"/>
        </w:rPr>
        <w:t>年6月新增</w:t>
      </w:r>
      <w:r>
        <w:rPr>
          <w:rFonts w:ascii="仿宋" w:eastAsia="仿宋" w:hAnsi="仿宋" w:cs="仿宋"/>
          <w:sz w:val="24"/>
          <w:szCs w:val="24"/>
        </w:rPr>
        <w:t>3</w:t>
      </w:r>
      <w:r>
        <w:rPr>
          <w:rFonts w:ascii="仿宋" w:eastAsia="仿宋" w:hAnsi="仿宋" w:cs="仿宋" w:hint="eastAsia"/>
          <w:sz w:val="24"/>
          <w:szCs w:val="24"/>
        </w:rPr>
        <w:t>名硕士研究生指导教师。</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（4）行业教师</w:t>
      </w:r>
    </w:p>
    <w:p w:rsidR="00D91D54" w:rsidRDefault="00D91D54" w:rsidP="00D91D54">
      <w:pPr>
        <w:pStyle w:val="1"/>
        <w:adjustRightInd w:val="0"/>
        <w:snapToGrid w:val="0"/>
        <w:spacing w:line="420" w:lineRule="exact"/>
        <w:ind w:firstLine="480"/>
        <w:textAlignment w:val="center"/>
        <w:rPr>
          <w:rFonts w:ascii="仿宋" w:eastAsia="仿宋" w:hAnsi="仿宋" w:cs="仿宋"/>
          <w:b/>
          <w:color w:val="000000"/>
          <w:kern w:val="0"/>
          <w:sz w:val="24"/>
          <w:szCs w:val="24"/>
        </w:rPr>
      </w:pPr>
      <w:r>
        <w:rPr>
          <w:rFonts w:ascii="仿宋" w:eastAsia="仿宋" w:hAnsi="仿宋" w:cs="仿宋" w:hint="eastAsia"/>
          <w:color w:val="000000"/>
          <w:sz w:val="24"/>
          <w:szCs w:val="24"/>
        </w:rPr>
        <w:t>专业实践导师遴选聘任严格按照学校《硕士研究生专业实践指导教师遴选聘任管理办法（修订）》进行，吸收本领域专家学者和实践领域有丰富经验具有高级技术职称的专业人员作为校外导师，并深入合作建立实践教育基地，联合培养专业学位硕士研究生。校外导师立德树人教育、考核均按照相应文件执行。目前已形成了主要由正高级技术职称和硕博学历的本领域专业人员组成的校外导师队伍。2</w:t>
      </w:r>
      <w:r>
        <w:rPr>
          <w:rFonts w:ascii="仿宋" w:eastAsia="仿宋" w:hAnsi="仿宋" w:cs="仿宋"/>
          <w:color w:val="000000"/>
          <w:sz w:val="24"/>
          <w:szCs w:val="24"/>
        </w:rPr>
        <w:t>023</w:t>
      </w:r>
      <w:r>
        <w:rPr>
          <w:rFonts w:ascii="仿宋" w:eastAsia="仿宋" w:hAnsi="仿宋" w:cs="仿宋" w:hint="eastAsia"/>
          <w:color w:val="000000"/>
          <w:sz w:val="24"/>
          <w:szCs w:val="24"/>
        </w:rPr>
        <w:t>年新增</w:t>
      </w:r>
      <w:r>
        <w:rPr>
          <w:rFonts w:ascii="仿宋" w:eastAsia="仿宋" w:hAnsi="仿宋" w:cs="仿宋"/>
          <w:color w:val="000000"/>
          <w:sz w:val="24"/>
          <w:szCs w:val="24"/>
        </w:rPr>
        <w:t>3</w:t>
      </w:r>
      <w:r>
        <w:rPr>
          <w:rFonts w:ascii="仿宋" w:eastAsia="仿宋" w:hAnsi="仿宋" w:cs="仿宋" w:hint="eastAsia"/>
          <w:color w:val="000000"/>
          <w:sz w:val="24"/>
          <w:szCs w:val="24"/>
        </w:rPr>
        <w:t>名硕士生导师，新增</w:t>
      </w:r>
      <w:r w:rsidR="00CE09C2">
        <w:rPr>
          <w:rFonts w:ascii="仿宋" w:eastAsia="仿宋" w:hAnsi="仿宋" w:cs="仿宋" w:hint="eastAsia"/>
          <w:color w:val="000000"/>
          <w:sz w:val="24"/>
          <w:szCs w:val="24"/>
        </w:rPr>
        <w:t>1</w:t>
      </w:r>
      <w:r>
        <w:rPr>
          <w:rFonts w:ascii="仿宋" w:eastAsia="仿宋" w:hAnsi="仿宋" w:cs="仿宋"/>
          <w:color w:val="000000"/>
          <w:sz w:val="24"/>
          <w:szCs w:val="24"/>
        </w:rPr>
        <w:t>2</w:t>
      </w:r>
      <w:r>
        <w:rPr>
          <w:rFonts w:ascii="仿宋" w:eastAsia="仿宋" w:hAnsi="仿宋" w:cs="仿宋" w:hint="eastAsia"/>
          <w:color w:val="000000"/>
          <w:sz w:val="24"/>
          <w:szCs w:val="24"/>
        </w:rPr>
        <w:t>名专业实践导师。</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3.科研创作</w:t>
      </w:r>
    </w:p>
    <w:p w:rsidR="00DC5E49" w:rsidRDefault="000000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内容：科研项目（纵/横）及经费 、论文、专著、艺术创作获奖与展览情况等。</w:t>
      </w:r>
    </w:p>
    <w:p w:rsidR="00537591" w:rsidRPr="00EB3159" w:rsidRDefault="00EB3159" w:rsidP="00EB3159">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立项国家级项目 1 项，立项省部级项目 1</w:t>
      </w:r>
      <w:r>
        <w:rPr>
          <w:rFonts w:ascii="仿宋" w:eastAsia="仿宋" w:hAnsi="仿宋" w:cs="仿宋"/>
          <w:color w:val="000000"/>
          <w:sz w:val="24"/>
          <w:szCs w:val="24"/>
        </w:rPr>
        <w:t>2</w:t>
      </w:r>
      <w:r>
        <w:rPr>
          <w:rFonts w:ascii="仿宋" w:eastAsia="仿宋" w:hAnsi="仿宋" w:cs="仿宋" w:hint="eastAsia"/>
          <w:color w:val="000000"/>
          <w:sz w:val="24"/>
          <w:szCs w:val="24"/>
        </w:rPr>
        <w:t>项，承担市厅级重点研究项目</w:t>
      </w:r>
      <w:r>
        <w:rPr>
          <w:rFonts w:ascii="仿宋" w:eastAsia="仿宋" w:hAnsi="仿宋" w:cs="仿宋"/>
          <w:color w:val="000000"/>
          <w:sz w:val="24"/>
          <w:szCs w:val="24"/>
        </w:rPr>
        <w:t>6</w:t>
      </w:r>
      <w:r>
        <w:rPr>
          <w:rFonts w:ascii="仿宋" w:eastAsia="仿宋" w:hAnsi="仿宋" w:cs="仿宋" w:hint="eastAsia"/>
          <w:color w:val="000000"/>
          <w:sz w:val="24"/>
          <w:szCs w:val="24"/>
        </w:rPr>
        <w:t>项，承担宜宾市五粮液集团、泸州老窖股份有限公司、丰谷酒业、水井坊等多家企业项目</w:t>
      </w:r>
      <w:r>
        <w:rPr>
          <w:rFonts w:ascii="仿宋" w:eastAsia="仿宋" w:hAnsi="仿宋" w:cs="仿宋"/>
          <w:color w:val="000000"/>
          <w:sz w:val="24"/>
          <w:szCs w:val="24"/>
        </w:rPr>
        <w:t>11</w:t>
      </w:r>
      <w:r>
        <w:rPr>
          <w:rFonts w:ascii="仿宋" w:eastAsia="仿宋" w:hAnsi="仿宋" w:cs="仿宋" w:hint="eastAsia"/>
          <w:color w:val="000000"/>
          <w:sz w:val="24"/>
          <w:szCs w:val="24"/>
        </w:rPr>
        <w:t>余项。</w:t>
      </w:r>
      <w:r w:rsidR="00537591">
        <w:rPr>
          <w:rFonts w:ascii="仿宋" w:eastAsia="仿宋" w:hAnsi="仿宋" w:cs="仿宋" w:hint="eastAsia"/>
          <w:color w:val="000000"/>
          <w:sz w:val="24"/>
          <w:szCs w:val="24"/>
        </w:rPr>
        <w:t>到位纵向科研经费2</w:t>
      </w:r>
      <w:r w:rsidR="00537591">
        <w:rPr>
          <w:rFonts w:ascii="仿宋" w:eastAsia="仿宋" w:hAnsi="仿宋" w:cs="仿宋"/>
          <w:color w:val="000000"/>
          <w:sz w:val="24"/>
          <w:szCs w:val="24"/>
        </w:rPr>
        <w:t>19</w:t>
      </w:r>
      <w:r w:rsidR="00537591">
        <w:rPr>
          <w:rFonts w:ascii="仿宋" w:eastAsia="仿宋" w:hAnsi="仿宋" w:cs="仿宋" w:hint="eastAsia"/>
          <w:color w:val="000000"/>
          <w:sz w:val="24"/>
          <w:szCs w:val="24"/>
        </w:rPr>
        <w:t>.</w:t>
      </w:r>
      <w:r w:rsidR="00537591">
        <w:rPr>
          <w:rFonts w:ascii="仿宋" w:eastAsia="仿宋" w:hAnsi="仿宋" w:cs="仿宋"/>
          <w:color w:val="000000"/>
          <w:sz w:val="24"/>
          <w:szCs w:val="24"/>
        </w:rPr>
        <w:t>5</w:t>
      </w:r>
      <w:r w:rsidR="00537591">
        <w:rPr>
          <w:rFonts w:ascii="仿宋" w:eastAsia="仿宋" w:hAnsi="仿宋" w:cs="仿宋" w:hint="eastAsia"/>
          <w:color w:val="000000"/>
          <w:sz w:val="24"/>
          <w:szCs w:val="24"/>
        </w:rPr>
        <w:t>万元，横向科研经费1</w:t>
      </w:r>
      <w:r w:rsidR="00537591">
        <w:rPr>
          <w:rFonts w:ascii="仿宋" w:eastAsia="仿宋" w:hAnsi="仿宋" w:cs="仿宋"/>
          <w:color w:val="000000"/>
          <w:sz w:val="24"/>
          <w:szCs w:val="24"/>
        </w:rPr>
        <w:t>105.3542</w:t>
      </w:r>
      <w:r w:rsidR="00537591">
        <w:rPr>
          <w:rFonts w:ascii="仿宋" w:eastAsia="仿宋" w:hAnsi="仿宋" w:cs="仿宋" w:hint="eastAsia"/>
          <w:color w:val="000000"/>
          <w:sz w:val="24"/>
          <w:szCs w:val="24"/>
        </w:rPr>
        <w:t>万元</w:t>
      </w:r>
      <w:r>
        <w:rPr>
          <w:rFonts w:ascii="仿宋" w:eastAsia="仿宋" w:hAnsi="仿宋" w:cs="仿宋" w:hint="eastAsia"/>
          <w:color w:val="000000"/>
          <w:sz w:val="24"/>
          <w:szCs w:val="24"/>
        </w:rPr>
        <w:t>。202</w:t>
      </w:r>
      <w:r>
        <w:rPr>
          <w:rFonts w:ascii="仿宋" w:eastAsia="仿宋" w:hAnsi="仿宋" w:cs="仿宋"/>
          <w:color w:val="000000"/>
          <w:sz w:val="24"/>
          <w:szCs w:val="24"/>
        </w:rPr>
        <w:t>3</w:t>
      </w:r>
      <w:r>
        <w:rPr>
          <w:rFonts w:ascii="仿宋" w:eastAsia="仿宋" w:hAnsi="仿宋" w:cs="仿宋" w:hint="eastAsia"/>
          <w:color w:val="000000"/>
          <w:sz w:val="24"/>
          <w:szCs w:val="24"/>
        </w:rPr>
        <w:t>年，本学位授权点研究生参与各类科研项目</w:t>
      </w:r>
      <w:r>
        <w:rPr>
          <w:rFonts w:ascii="仿宋" w:eastAsia="仿宋" w:hAnsi="仿宋" w:cs="仿宋"/>
          <w:color w:val="000000"/>
          <w:sz w:val="24"/>
          <w:szCs w:val="24"/>
        </w:rPr>
        <w:t>6</w:t>
      </w:r>
      <w:r>
        <w:rPr>
          <w:rFonts w:ascii="仿宋" w:eastAsia="仿宋" w:hAnsi="仿宋" w:cs="仿宋" w:hint="eastAsia"/>
          <w:color w:val="000000"/>
          <w:sz w:val="24"/>
          <w:szCs w:val="24"/>
        </w:rPr>
        <w:t>0余项；发表论文</w:t>
      </w:r>
      <w:r>
        <w:rPr>
          <w:rFonts w:ascii="仿宋" w:eastAsia="仿宋" w:hAnsi="仿宋" w:cs="仿宋"/>
          <w:color w:val="000000"/>
          <w:sz w:val="24"/>
          <w:szCs w:val="24"/>
        </w:rPr>
        <w:t>150</w:t>
      </w:r>
      <w:r>
        <w:rPr>
          <w:rFonts w:ascii="仿宋" w:eastAsia="仿宋" w:hAnsi="仿宋" w:cs="仿宋" w:hint="eastAsia"/>
          <w:color w:val="000000"/>
          <w:sz w:val="24"/>
          <w:szCs w:val="24"/>
        </w:rPr>
        <w:t>余篇，授权发明专利（参与人）</w:t>
      </w:r>
      <w:r>
        <w:rPr>
          <w:rFonts w:ascii="仿宋" w:eastAsia="仿宋" w:hAnsi="仿宋" w:cs="仿宋"/>
          <w:color w:val="000000"/>
          <w:sz w:val="24"/>
          <w:szCs w:val="24"/>
        </w:rPr>
        <w:t>10</w:t>
      </w:r>
      <w:r>
        <w:rPr>
          <w:rFonts w:ascii="仿宋" w:eastAsia="仿宋" w:hAnsi="仿宋" w:cs="仿宋" w:hint="eastAsia"/>
          <w:color w:val="000000"/>
          <w:sz w:val="24"/>
          <w:szCs w:val="24"/>
        </w:rPr>
        <w:t>项。发表著作2项，申请获得软著1项。</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4.教学科研支撑</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bookmarkStart w:id="34" w:name="_Toc67060088"/>
      <w:bookmarkStart w:id="35" w:name="_Toc69824939"/>
      <w:r>
        <w:rPr>
          <w:rFonts w:ascii="仿宋" w:eastAsia="仿宋" w:hAnsi="仿宋" w:cs="仿宋" w:hint="eastAsia"/>
          <w:b/>
          <w:color w:val="000000"/>
          <w:kern w:val="0"/>
          <w:sz w:val="24"/>
          <w:szCs w:val="24"/>
        </w:rPr>
        <w:t>（1）</w:t>
      </w:r>
      <w:bookmarkEnd w:id="34"/>
      <w:bookmarkEnd w:id="35"/>
      <w:r>
        <w:rPr>
          <w:rFonts w:ascii="仿宋" w:eastAsia="仿宋" w:hAnsi="仿宋" w:cs="仿宋" w:hint="eastAsia"/>
          <w:b/>
          <w:color w:val="000000"/>
          <w:kern w:val="0"/>
          <w:sz w:val="24"/>
          <w:szCs w:val="24"/>
        </w:rPr>
        <w:t>教学科研基础条件</w:t>
      </w:r>
    </w:p>
    <w:p w:rsidR="0049715B" w:rsidRDefault="0049715B" w:rsidP="0049715B">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sz w:val="24"/>
          <w:szCs w:val="24"/>
        </w:rPr>
        <w:t>具有研究生教学多媒体教室2</w:t>
      </w:r>
      <w:r>
        <w:rPr>
          <w:rFonts w:ascii="仿宋" w:eastAsia="仿宋" w:hAnsi="仿宋" w:cs="仿宋"/>
          <w:sz w:val="24"/>
          <w:szCs w:val="24"/>
        </w:rPr>
        <w:t>0</w:t>
      </w:r>
      <w:r>
        <w:rPr>
          <w:rFonts w:ascii="仿宋" w:eastAsia="仿宋" w:hAnsi="仿宋" w:cs="仿宋" w:hint="eastAsia"/>
          <w:sz w:val="24"/>
          <w:szCs w:val="24"/>
        </w:rPr>
        <w:t>余间，供研究生教学课程专用。具有专业科研实验室约16500平方米，用于导师和研究生开展论文科研工作使用。具有</w:t>
      </w:r>
      <w:r w:rsidR="002A32D9">
        <w:rPr>
          <w:rFonts w:ascii="仿宋" w:eastAsia="仿宋" w:hAnsi="仿宋" w:cs="仿宋" w:hint="eastAsia"/>
          <w:sz w:val="24"/>
          <w:szCs w:val="24"/>
        </w:rPr>
        <w:t>生物与医药</w:t>
      </w:r>
      <w:r>
        <w:rPr>
          <w:rFonts w:ascii="仿宋" w:eastAsia="仿宋" w:hAnsi="仿宋" w:cs="仿宋" w:hint="eastAsia"/>
          <w:sz w:val="24"/>
          <w:szCs w:val="24"/>
        </w:rPr>
        <w:t>学科</w:t>
      </w:r>
      <w:r w:rsidR="002A32D9">
        <w:rPr>
          <w:rFonts w:ascii="仿宋" w:eastAsia="仿宋" w:hAnsi="仿宋" w:cs="仿宋" w:hint="eastAsia"/>
          <w:sz w:val="24"/>
          <w:szCs w:val="24"/>
        </w:rPr>
        <w:t>类别</w:t>
      </w:r>
      <w:r>
        <w:rPr>
          <w:rFonts w:ascii="仿宋" w:eastAsia="仿宋" w:hAnsi="仿宋" w:cs="仿宋" w:hint="eastAsia"/>
          <w:sz w:val="24"/>
          <w:szCs w:val="24"/>
        </w:rPr>
        <w:t>相关的科研设备，包括6</w:t>
      </w:r>
      <w:r>
        <w:rPr>
          <w:rFonts w:ascii="仿宋" w:eastAsia="仿宋" w:hAnsi="仿宋" w:cs="仿宋"/>
          <w:sz w:val="24"/>
          <w:szCs w:val="24"/>
        </w:rPr>
        <w:t>00M</w:t>
      </w:r>
      <w:r>
        <w:rPr>
          <w:rFonts w:ascii="仿宋" w:eastAsia="仿宋" w:hAnsi="仿宋" w:cs="仿宋" w:hint="eastAsia"/>
          <w:sz w:val="24"/>
          <w:szCs w:val="24"/>
        </w:rPr>
        <w:t>核磁共振、液质联用仪、气质联用仪、高通量测序仪等大型仪器设备，可为</w:t>
      </w:r>
      <w:r w:rsidR="00BF565F">
        <w:rPr>
          <w:rFonts w:ascii="仿宋" w:eastAsia="仿宋" w:hAnsi="仿宋" w:cs="仿宋" w:hint="eastAsia"/>
          <w:sz w:val="24"/>
          <w:szCs w:val="24"/>
        </w:rPr>
        <w:t>生物与医药学科类别</w:t>
      </w:r>
      <w:r>
        <w:rPr>
          <w:rFonts w:ascii="仿宋" w:eastAsia="仿宋" w:hAnsi="仿宋" w:cs="仿宋" w:hint="eastAsia"/>
          <w:sz w:val="24"/>
          <w:szCs w:val="24"/>
        </w:rPr>
        <w:t>专业硕士的培养提供先进的教学科研条件</w:t>
      </w:r>
      <w:r>
        <w:rPr>
          <w:rFonts w:ascii="仿宋" w:eastAsia="仿宋" w:hAnsi="仿宋" w:cs="仿宋" w:hint="eastAsia"/>
          <w:color w:val="000000"/>
          <w:sz w:val="24"/>
          <w:szCs w:val="24"/>
        </w:rPr>
        <w:t>。</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（2）网络、图书资源</w:t>
      </w:r>
    </w:p>
    <w:p w:rsidR="0049715B" w:rsidRDefault="0049715B" w:rsidP="0049715B">
      <w:pPr>
        <w:widowControl/>
        <w:spacing w:line="420" w:lineRule="exact"/>
        <w:ind w:firstLineChars="200" w:firstLine="480"/>
        <w:jc w:val="left"/>
        <w:rPr>
          <w:rFonts w:ascii="仿宋" w:eastAsia="仿宋" w:hAnsi="仿宋" w:cs="仿宋"/>
          <w:color w:val="000000"/>
          <w:sz w:val="24"/>
          <w:szCs w:val="24"/>
        </w:rPr>
      </w:pPr>
      <w:bookmarkStart w:id="36" w:name="_Toc69824940"/>
      <w:bookmarkStart w:id="37" w:name="_Toc67060089"/>
      <w:r>
        <w:rPr>
          <w:rFonts w:ascii="仿宋" w:eastAsia="仿宋" w:hAnsi="仿宋" w:cs="仿宋" w:hint="eastAsia"/>
          <w:color w:val="000000"/>
          <w:sz w:val="24"/>
          <w:szCs w:val="24"/>
        </w:rPr>
        <w:t>本学位点有较丰富的、满足教学需要的中外文专业图书资料和数字化资源。每个研究生均配有登录账号，方便研究生在校内和校外使用。图书馆馆藏纸质文献301万余册，电子图书 140 万余册；购买了国内外数据库120多个（含字库），其中中文数据库91个，外文数据库31个，如中国学术期刊全文数据库、中国博、硕士学位论文全文数据库、万方数据平台、维普资讯、超星数字图书馆、Elsevier ScienceDirect、EBSCO、SCIE等，折合电子图书106万册、电子期刊105万册、</w:t>
      </w:r>
      <w:r>
        <w:rPr>
          <w:rFonts w:ascii="仿宋" w:eastAsia="仿宋" w:hAnsi="仿宋" w:cs="仿宋" w:hint="eastAsia"/>
          <w:color w:val="000000"/>
          <w:sz w:val="24"/>
          <w:szCs w:val="24"/>
        </w:rPr>
        <w:lastRenderedPageBreak/>
        <w:t>学位论文959万篇。此外，根据我校学科特色，自建特色数据库10个，如中国盐文化数据库、酿酒特色数据库等，保障了研究生教育和培养的基本条件。</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（3）教学/科研平台</w:t>
      </w:r>
    </w:p>
    <w:bookmarkEnd w:id="36"/>
    <w:bookmarkEnd w:id="37"/>
    <w:p w:rsidR="00604216" w:rsidRDefault="00604216" w:rsidP="00604216">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依托“固态酿造国家级工程实践教育中心”国家级平台和“酿酒生物技术及应用四川省重点实验室”、“固态酿造关键技术研究四川省院士（专家）工作站”、“四川省酿酒专用粮工程技术研究中心”、“四川省固态酿造博士后创新实践基地”、“食品质量与安全省级协同创新中心”、“传统酿酒产业改造升级四川省协同创新中心培育基地”12个省部级平台。对研究生的培养起到了重要的支撑作用。</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（4）专业实践基地</w:t>
      </w:r>
    </w:p>
    <w:p w:rsidR="00604216" w:rsidRDefault="00604216" w:rsidP="00604216">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具有能满足需要的“产学研用”实践基地。学校已在宜宾五粮液集团有限公司、泸州老窖股份有限公司、成都希望食品有限公司、四川省食品发酵工业研究设计院等多家知名企业和科研院所建立了实践基地，每年可接纳实践学生人数80人。</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5.奖助体系</w:t>
      </w:r>
    </w:p>
    <w:p w:rsidR="000047F2" w:rsidRDefault="000047F2" w:rsidP="000047F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color w:val="000000"/>
          <w:sz w:val="24"/>
          <w:szCs w:val="24"/>
        </w:rPr>
        <w:t>建立了完善的硕士研究生奖助体系</w:t>
      </w:r>
      <w:r>
        <w:rPr>
          <w:rFonts w:ascii="仿宋" w:eastAsia="仿宋" w:hAnsi="仿宋" w:cs="仿宋" w:hint="eastAsia"/>
          <w:color w:val="000000"/>
          <w:sz w:val="24"/>
          <w:szCs w:val="24"/>
        </w:rPr>
        <w:t>，工作中严格按照</w:t>
      </w:r>
      <w:r>
        <w:rPr>
          <w:rFonts w:ascii="仿宋" w:eastAsia="仿宋" w:hAnsi="仿宋" w:cs="仿宋" w:hint="eastAsia"/>
          <w:sz w:val="24"/>
          <w:szCs w:val="24"/>
        </w:rPr>
        <w:t>《四川轻化工大学关于印发&lt;研究生助学金、国家奖学金、学业奖学金实施细则&gt;的通知》</w:t>
      </w:r>
      <w:r>
        <w:rPr>
          <w:rFonts w:ascii="仿宋" w:eastAsia="仿宋" w:hAnsi="仿宋" w:cs="仿宋"/>
          <w:sz w:val="24"/>
          <w:szCs w:val="24"/>
        </w:rPr>
        <w:t>、</w:t>
      </w:r>
      <w:r>
        <w:rPr>
          <w:rFonts w:ascii="仿宋" w:eastAsia="仿宋" w:hAnsi="仿宋" w:cs="仿宋" w:hint="eastAsia"/>
          <w:sz w:val="24"/>
          <w:szCs w:val="24"/>
        </w:rPr>
        <w:t>《四川轻化工大学研究生“三助一辅”工作管理办法》</w:t>
      </w:r>
      <w:r>
        <w:rPr>
          <w:rFonts w:ascii="仿宋" w:eastAsia="仿宋" w:hAnsi="仿宋" w:cs="仿宋"/>
          <w:color w:val="000000"/>
          <w:sz w:val="24"/>
          <w:szCs w:val="24"/>
        </w:rPr>
        <w:t>等一系列制度</w:t>
      </w:r>
      <w:r>
        <w:rPr>
          <w:rFonts w:ascii="仿宋" w:eastAsia="仿宋" w:hAnsi="仿宋" w:cs="仿宋" w:hint="eastAsia"/>
          <w:color w:val="000000"/>
          <w:sz w:val="24"/>
          <w:szCs w:val="24"/>
        </w:rPr>
        <w:t>的要求执行</w:t>
      </w:r>
      <w:r>
        <w:rPr>
          <w:rFonts w:ascii="仿宋" w:eastAsia="仿宋" w:hAnsi="仿宋" w:cs="仿宋"/>
          <w:color w:val="000000"/>
          <w:sz w:val="24"/>
          <w:szCs w:val="24"/>
        </w:rPr>
        <w:t>。配合学校制度要求，学院制定了《四川轻化工大学</w:t>
      </w:r>
      <w:r>
        <w:rPr>
          <w:rFonts w:ascii="仿宋" w:eastAsia="仿宋" w:hAnsi="仿宋" w:cs="仿宋" w:hint="eastAsia"/>
          <w:color w:val="000000"/>
          <w:sz w:val="24"/>
          <w:szCs w:val="24"/>
        </w:rPr>
        <w:t>生物</w:t>
      </w:r>
      <w:r>
        <w:rPr>
          <w:rFonts w:ascii="仿宋" w:eastAsia="仿宋" w:hAnsi="仿宋" w:cs="仿宋"/>
          <w:color w:val="000000"/>
          <w:sz w:val="24"/>
          <w:szCs w:val="24"/>
        </w:rPr>
        <w:t>工程学院国家奖学金评审实施细则》、《</w:t>
      </w:r>
      <w:r>
        <w:rPr>
          <w:rFonts w:ascii="仿宋" w:eastAsia="仿宋" w:hAnsi="仿宋" w:cs="仿宋" w:hint="eastAsia"/>
          <w:color w:val="000000"/>
          <w:sz w:val="24"/>
          <w:szCs w:val="24"/>
        </w:rPr>
        <w:t>生物</w:t>
      </w:r>
      <w:r>
        <w:rPr>
          <w:rFonts w:ascii="仿宋" w:eastAsia="仿宋" w:hAnsi="仿宋" w:cs="仿宋"/>
          <w:color w:val="000000"/>
          <w:sz w:val="24"/>
          <w:szCs w:val="24"/>
        </w:rPr>
        <w:t>工程学院研究生助学金实施细则》、《</w:t>
      </w:r>
      <w:r>
        <w:rPr>
          <w:rFonts w:ascii="仿宋" w:eastAsia="仿宋" w:hAnsi="仿宋" w:cs="仿宋" w:hint="eastAsia"/>
          <w:color w:val="000000"/>
          <w:sz w:val="24"/>
          <w:szCs w:val="24"/>
        </w:rPr>
        <w:t>生物</w:t>
      </w:r>
      <w:r>
        <w:rPr>
          <w:rFonts w:ascii="仿宋" w:eastAsia="仿宋" w:hAnsi="仿宋" w:cs="仿宋"/>
          <w:color w:val="000000"/>
          <w:sz w:val="24"/>
          <w:szCs w:val="24"/>
        </w:rPr>
        <w:t>工程学院研究生学业奖学金评定实施细则》、《</w:t>
      </w:r>
      <w:r>
        <w:rPr>
          <w:rFonts w:ascii="仿宋" w:eastAsia="仿宋" w:hAnsi="仿宋" w:cs="仿宋" w:hint="eastAsia"/>
          <w:color w:val="000000"/>
          <w:sz w:val="24"/>
          <w:szCs w:val="24"/>
        </w:rPr>
        <w:t>生物</w:t>
      </w:r>
      <w:r>
        <w:rPr>
          <w:rFonts w:ascii="仿宋" w:eastAsia="仿宋" w:hAnsi="仿宋" w:cs="仿宋"/>
          <w:color w:val="000000"/>
          <w:sz w:val="24"/>
          <w:szCs w:val="24"/>
        </w:rPr>
        <w:t>工程学院“</w:t>
      </w:r>
      <w:r>
        <w:rPr>
          <w:rFonts w:ascii="仿宋" w:eastAsia="仿宋" w:hAnsi="仿宋" w:cs="仿宋" w:hint="eastAsia"/>
          <w:color w:val="000000"/>
          <w:sz w:val="24"/>
          <w:szCs w:val="24"/>
        </w:rPr>
        <w:t>五粮液</w:t>
      </w:r>
      <w:r>
        <w:rPr>
          <w:rFonts w:ascii="仿宋" w:eastAsia="仿宋" w:hAnsi="仿宋" w:cs="仿宋"/>
          <w:color w:val="000000"/>
          <w:sz w:val="24"/>
          <w:szCs w:val="24"/>
        </w:rPr>
        <w:t>”奖</w:t>
      </w:r>
      <w:r>
        <w:rPr>
          <w:rFonts w:ascii="仿宋" w:eastAsia="仿宋" w:hAnsi="仿宋" w:cs="仿宋" w:hint="eastAsia"/>
          <w:color w:val="000000"/>
          <w:sz w:val="24"/>
          <w:szCs w:val="24"/>
        </w:rPr>
        <w:t>、助</w:t>
      </w:r>
      <w:r>
        <w:rPr>
          <w:rFonts w:ascii="仿宋" w:eastAsia="仿宋" w:hAnsi="仿宋" w:cs="仿宋"/>
          <w:color w:val="000000"/>
          <w:sz w:val="24"/>
          <w:szCs w:val="24"/>
        </w:rPr>
        <w:t>学金评定实施细则》等制度性文件，为公平、公开、公正地评审各种奖学金、助学金提供依据，为激励研究生勤奋学习、潜心研究和完成学业提供了保障。</w:t>
      </w:r>
    </w:p>
    <w:p w:rsidR="000047F2" w:rsidRDefault="000047F2" w:rsidP="000047F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目前设立有国家奖学金、学业奖学金和助学金，并根据需要设置科研助理，确保学生学业的正常开展。此外，通过与企业的产教融合合作，设置了五粮液奖学金和五粮液励志奖学金、丁点奖学金等企业奖学金。</w:t>
      </w:r>
    </w:p>
    <w:p w:rsidR="000047F2" w:rsidRDefault="000047F2" w:rsidP="000047F2">
      <w:pPr>
        <w:widowControl/>
        <w:spacing w:line="42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奖助水平与覆盖面：</w:t>
      </w:r>
      <w:bookmarkStart w:id="38" w:name="_Hlk150335136"/>
      <w:r>
        <w:rPr>
          <w:rFonts w:ascii="仿宋" w:eastAsia="仿宋" w:hAnsi="仿宋" w:cs="仿宋" w:hint="eastAsia"/>
          <w:sz w:val="24"/>
          <w:szCs w:val="24"/>
        </w:rPr>
        <w:t>国家奖学金20000元/人，覆盖率3.8 %</w:t>
      </w:r>
      <w:bookmarkEnd w:id="38"/>
      <w:r>
        <w:rPr>
          <w:rFonts w:ascii="仿宋" w:eastAsia="仿宋" w:hAnsi="仿宋" w:cs="仿宋" w:hint="eastAsia"/>
          <w:sz w:val="24"/>
          <w:szCs w:val="24"/>
        </w:rPr>
        <w:t>；学业奖学金6000-10000元不等，覆盖率为34.3%左右；助学金全日制无工资收入学生覆盖率为100%。</w:t>
      </w:r>
    </w:p>
    <w:p w:rsidR="00DC5E49"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三、人才培养 </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1.招生选拔</w:t>
      </w:r>
    </w:p>
    <w:p w:rsidR="00221AB3" w:rsidRDefault="00221AB3" w:rsidP="00221AB3">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从2020年开始招收学生至202</w:t>
      </w:r>
      <w:r w:rsidR="00C0359A">
        <w:rPr>
          <w:rFonts w:ascii="仿宋" w:eastAsia="仿宋" w:hAnsi="仿宋" w:cs="仿宋"/>
          <w:color w:val="000000"/>
          <w:sz w:val="24"/>
          <w:szCs w:val="24"/>
        </w:rPr>
        <w:t>3</w:t>
      </w:r>
      <w:r>
        <w:rPr>
          <w:rFonts w:ascii="仿宋" w:eastAsia="仿宋" w:hAnsi="仿宋" w:cs="仿宋" w:hint="eastAsia"/>
          <w:color w:val="000000"/>
          <w:sz w:val="24"/>
          <w:szCs w:val="24"/>
        </w:rPr>
        <w:t>年本学位授权点考录比，招生人数稳步增加，生源从本省、本校逐步扩大到全国范围，结构渐趋合理。为解决研究生招生问题，</w:t>
      </w:r>
      <w:r>
        <w:rPr>
          <w:rFonts w:ascii="仿宋" w:eastAsia="仿宋" w:hAnsi="仿宋" w:cs="仿宋" w:hint="eastAsia"/>
          <w:color w:val="000000"/>
          <w:sz w:val="24"/>
          <w:szCs w:val="24"/>
        </w:rPr>
        <w:lastRenderedPageBreak/>
        <w:t>学院主要采用以下三点措施：加大专业类别特色和优势的宣传，提高专业类别影响力，吸引学生报考；有目的性地在相关院所进行宣传，提高这些学校相关专业报考该专业类别研究生人数；通过多渠道鼓励本校相关专业学生报考本授权点研究生。</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2.党建和思政教育</w:t>
      </w:r>
    </w:p>
    <w:p w:rsidR="00066918" w:rsidRDefault="00066918" w:rsidP="00066918">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本学位授权点开设有《中国特色社会主义理论与实践研究》、《自然辨证法概论》和《马克思主义与社会科学方法论》思想政治理论课程，并积极建设具有专业特色的课程思政体系。</w:t>
      </w:r>
    </w:p>
    <w:p w:rsidR="00066918" w:rsidRDefault="00066918" w:rsidP="00066918">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设立学科与研究生工作办公室，配备办公室主任1名并兼职研究生辅导员；配备</w:t>
      </w:r>
      <w:r>
        <w:rPr>
          <w:rFonts w:ascii="仿宋" w:eastAsia="仿宋" w:hAnsi="仿宋" w:cs="仿宋"/>
          <w:color w:val="000000"/>
          <w:sz w:val="24"/>
          <w:szCs w:val="24"/>
        </w:rPr>
        <w:t>3</w:t>
      </w:r>
      <w:r>
        <w:rPr>
          <w:rFonts w:ascii="仿宋" w:eastAsia="仿宋" w:hAnsi="仿宋" w:cs="仿宋" w:hint="eastAsia"/>
          <w:color w:val="000000"/>
          <w:sz w:val="24"/>
          <w:szCs w:val="24"/>
        </w:rPr>
        <w:t>名青年博士教师作为研究生</w:t>
      </w:r>
      <w:r w:rsidR="00D351D1">
        <w:rPr>
          <w:rFonts w:ascii="仿宋" w:eastAsia="仿宋" w:hAnsi="仿宋" w:cs="仿宋" w:hint="eastAsia"/>
          <w:color w:val="000000"/>
          <w:sz w:val="24"/>
          <w:szCs w:val="24"/>
        </w:rPr>
        <w:t>兼</w:t>
      </w:r>
      <w:r>
        <w:rPr>
          <w:rFonts w:ascii="仿宋" w:eastAsia="仿宋" w:hAnsi="仿宋" w:cs="仿宋" w:hint="eastAsia"/>
          <w:color w:val="000000"/>
          <w:sz w:val="24"/>
          <w:szCs w:val="24"/>
        </w:rPr>
        <w:t>职辅导员。研究生党支部书记由辅导员担任，确保研究生支部在学校党委和学院党委的坚强领导下工作，采取集中研讨、主题讨论、学习交流、观看纪录片、实践教育等形式多样的思政教育活动。例如，</w:t>
      </w:r>
      <w:r w:rsidR="006C1039" w:rsidRPr="006C1039">
        <w:rPr>
          <w:rFonts w:ascii="仿宋" w:eastAsia="仿宋" w:hAnsi="仿宋" w:cs="仿宋" w:hint="eastAsia"/>
          <w:color w:val="000000"/>
          <w:sz w:val="24"/>
          <w:szCs w:val="24"/>
        </w:rPr>
        <w:t>深入学习贯彻习近平总书记来川视察重要指示精神和党中央决策部署</w:t>
      </w:r>
      <w:r w:rsidR="006C1039">
        <w:rPr>
          <w:rFonts w:ascii="仿宋" w:eastAsia="仿宋" w:hAnsi="仿宋" w:cs="仿宋" w:hint="eastAsia"/>
          <w:color w:val="000000"/>
          <w:sz w:val="24"/>
          <w:szCs w:val="24"/>
        </w:rPr>
        <w:t>。</w:t>
      </w:r>
      <w:r>
        <w:rPr>
          <w:rFonts w:ascii="仿宋" w:eastAsia="仿宋" w:hAnsi="仿宋" w:cs="仿宋" w:hint="eastAsia"/>
          <w:color w:val="000000"/>
          <w:sz w:val="24"/>
          <w:szCs w:val="24"/>
        </w:rPr>
        <w:t>同时充分发挥导师和任课教师在研究生党建工作中的作用，使之不但成为研究生科研上的引路人，也是理想信念的引导者。</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3.培养方案</w:t>
      </w:r>
    </w:p>
    <w:p w:rsidR="007C7FDA" w:rsidRDefault="007C7FDA" w:rsidP="007C7FDA">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根据生物与医药专业类别评议组的指导性要求和我校办学定位，邀请行业专家充分论证，修订了目标明确、特色鲜明的生物与医药专业学位硕士研究生培养方案。在研究生培养和考核过程中，严格按照培养方案的课程设置和实践要求执行，所有课程均更新了教学大纲，对教学目的和教学要求、教学内容、教学方式、考核方式和参考书目等进行了明确规定。</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4.课程教学</w:t>
      </w:r>
    </w:p>
    <w:p w:rsidR="004C2127" w:rsidRDefault="00D2626D" w:rsidP="00D2626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（1）课程体系设置</w:t>
      </w:r>
    </w:p>
    <w:p w:rsidR="00D2626D" w:rsidRDefault="00D2626D" w:rsidP="00D2626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根据中国工程专业学位研究生教育指导委员会发布的专业学位类别专业领域指导性目录及教指委相关要求，生物与医药专业学位类别确定了生物技术与工程、制药工程、食品工程、发酵工程四个领域。由各领域负责人召集教师对课程体系进行讨论梳理，邀请校外同行专家共同完成课程设置。课程体系完全符合《0860生物与医药专业学位研究生核心课程指南》的相关内容，同时根据本授权点以白酒酿造、食品生物技术、生物制药为特色的办学方向及企业导师、同行专家反馈信息，对课程设置进行了动态调整，使课程体系能更好地服务于本授权点专业学位研究生培养。体现了理论体系与实践能力并重，突出了专业硕士实践能力培养和办学特色。</w:t>
      </w:r>
    </w:p>
    <w:p w:rsidR="00D2626D" w:rsidRDefault="00D2626D" w:rsidP="00D2626D">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（2）主要课程执行情况</w:t>
      </w:r>
    </w:p>
    <w:p w:rsidR="00D2626D" w:rsidRDefault="00BD2A06">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根据《0860生物与医药专业学位研究生核心课程指南》的相关内容</w:t>
      </w:r>
      <w:r w:rsidR="00DC2E57">
        <w:rPr>
          <w:rFonts w:ascii="仿宋" w:eastAsia="仿宋" w:hAnsi="仿宋" w:cs="仿宋" w:hint="eastAsia"/>
          <w:color w:val="000000"/>
          <w:sz w:val="24"/>
          <w:szCs w:val="24"/>
        </w:rPr>
        <w:t>，及本学位点的特色</w:t>
      </w:r>
      <w:r w:rsidR="00C875F5">
        <w:rPr>
          <w:rFonts w:ascii="仿宋" w:eastAsia="仿宋" w:hAnsi="仿宋" w:cs="仿宋" w:hint="eastAsia"/>
          <w:color w:val="000000"/>
          <w:sz w:val="24"/>
          <w:szCs w:val="24"/>
        </w:rPr>
        <w:t>所设立的课程，</w:t>
      </w:r>
      <w:r w:rsidR="002901CF">
        <w:rPr>
          <w:rFonts w:ascii="仿宋" w:eastAsia="仿宋" w:hAnsi="仿宋" w:cs="仿宋" w:hint="eastAsia"/>
          <w:color w:val="000000"/>
          <w:sz w:val="24"/>
          <w:szCs w:val="24"/>
        </w:rPr>
        <w:t>全部开课，经学科与研究生办公室宣传指导，学生与导师及任课老师互动，每位学生都选择了复合自己培养方向及研究方向的课程</w:t>
      </w:r>
      <w:r w:rsidR="008B0FD2">
        <w:rPr>
          <w:rFonts w:ascii="仿宋" w:eastAsia="仿宋" w:hAnsi="仿宋" w:cs="仿宋" w:hint="eastAsia"/>
          <w:color w:val="000000"/>
          <w:sz w:val="24"/>
          <w:szCs w:val="24"/>
        </w:rPr>
        <w:t>，教学效果</w:t>
      </w:r>
      <w:r w:rsidR="00880036">
        <w:rPr>
          <w:rFonts w:ascii="仿宋" w:eastAsia="仿宋" w:hAnsi="仿宋" w:cs="仿宋" w:hint="eastAsia"/>
          <w:color w:val="000000"/>
          <w:sz w:val="24"/>
          <w:szCs w:val="24"/>
        </w:rPr>
        <w:t>良好</w:t>
      </w:r>
      <w:r w:rsidR="002901CF">
        <w:rPr>
          <w:rFonts w:ascii="仿宋" w:eastAsia="仿宋" w:hAnsi="仿宋" w:cs="仿宋" w:hint="eastAsia"/>
          <w:color w:val="000000"/>
          <w:sz w:val="24"/>
          <w:szCs w:val="24"/>
        </w:rPr>
        <w:t>。</w:t>
      </w:r>
    </w:p>
    <w:p w:rsidR="00224EFD" w:rsidRDefault="004E54BF">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（3）</w:t>
      </w:r>
      <w:r w:rsidR="00F867AB">
        <w:rPr>
          <w:rFonts w:ascii="仿宋" w:eastAsia="仿宋" w:hAnsi="仿宋" w:cs="仿宋" w:hint="eastAsia"/>
          <w:color w:val="000000"/>
          <w:sz w:val="24"/>
          <w:szCs w:val="24"/>
        </w:rPr>
        <w:t>案例教学开展情况</w:t>
      </w:r>
    </w:p>
    <w:p w:rsidR="00F867AB" w:rsidRDefault="00D95E1B" w:rsidP="00D95E1B">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学校积极开展案例教学工作，在制度上制定了《四川轻化工大学专业学位研究生课程案例库建设管理办法（试行）》文件。对于专业学位的案例教学，也支持教师用到本学位点的课程教学中。</w:t>
      </w:r>
      <w:r w:rsidR="00B0223A">
        <w:rPr>
          <w:rFonts w:ascii="仿宋" w:eastAsia="仿宋" w:hAnsi="仿宋" w:cs="仿宋" w:hint="eastAsia"/>
          <w:color w:val="000000"/>
          <w:sz w:val="24"/>
          <w:szCs w:val="24"/>
        </w:rPr>
        <w:t>自本学</w:t>
      </w:r>
      <w:r w:rsidR="007C7DF6">
        <w:rPr>
          <w:rFonts w:ascii="仿宋" w:eastAsia="仿宋" w:hAnsi="仿宋" w:cs="仿宋" w:hint="eastAsia"/>
          <w:color w:val="000000"/>
          <w:sz w:val="24"/>
          <w:szCs w:val="24"/>
        </w:rPr>
        <w:t>位点招生以来，连续3年</w:t>
      </w:r>
      <w:r w:rsidR="009E5C6E">
        <w:rPr>
          <w:rFonts w:ascii="仿宋" w:eastAsia="仿宋" w:hAnsi="仿宋" w:cs="仿宋" w:hint="eastAsia"/>
          <w:color w:val="000000"/>
          <w:sz w:val="24"/>
          <w:szCs w:val="24"/>
        </w:rPr>
        <w:t>共有4位老师针对所教授课程及学科特色，申报获批案例课程建设</w:t>
      </w:r>
      <w:r w:rsidR="00F73835">
        <w:rPr>
          <w:rFonts w:ascii="仿宋" w:eastAsia="仿宋" w:hAnsi="仿宋" w:cs="仿宋" w:hint="eastAsia"/>
          <w:color w:val="000000"/>
          <w:sz w:val="24"/>
          <w:szCs w:val="24"/>
        </w:rPr>
        <w:t>项目立项</w:t>
      </w:r>
      <w:r w:rsidR="009E5C6E">
        <w:rPr>
          <w:rFonts w:ascii="仿宋" w:eastAsia="仿宋" w:hAnsi="仿宋" w:cs="仿宋" w:hint="eastAsia"/>
          <w:color w:val="000000"/>
          <w:sz w:val="24"/>
          <w:szCs w:val="24"/>
        </w:rPr>
        <w:t>，</w:t>
      </w:r>
      <w:r w:rsidR="00F73835">
        <w:rPr>
          <w:rFonts w:ascii="仿宋" w:eastAsia="仿宋" w:hAnsi="仿宋" w:cs="仿宋" w:hint="eastAsia"/>
          <w:color w:val="000000"/>
          <w:sz w:val="24"/>
          <w:szCs w:val="24"/>
        </w:rPr>
        <w:t>基于建设项目内容，</w:t>
      </w:r>
      <w:r w:rsidR="009E5C6E">
        <w:rPr>
          <w:rFonts w:ascii="仿宋" w:eastAsia="仿宋" w:hAnsi="仿宋" w:cs="仿宋" w:hint="eastAsia"/>
          <w:color w:val="000000"/>
          <w:sz w:val="24"/>
          <w:szCs w:val="24"/>
        </w:rPr>
        <w:t>在建设过程中取得了良好的</w:t>
      </w:r>
      <w:r w:rsidR="00F73835">
        <w:rPr>
          <w:rFonts w:ascii="仿宋" w:eastAsia="仿宋" w:hAnsi="仿宋" w:cs="仿宋" w:hint="eastAsia"/>
          <w:color w:val="000000"/>
          <w:sz w:val="24"/>
          <w:szCs w:val="24"/>
        </w:rPr>
        <w:t>效果</w:t>
      </w:r>
      <w:r w:rsidR="00D03021">
        <w:rPr>
          <w:rFonts w:ascii="仿宋" w:eastAsia="仿宋" w:hAnsi="仿宋" w:cs="仿宋" w:hint="eastAsia"/>
          <w:color w:val="000000"/>
          <w:sz w:val="24"/>
          <w:szCs w:val="24"/>
        </w:rPr>
        <w:t>。</w:t>
      </w:r>
    </w:p>
    <w:p w:rsidR="00A269A2" w:rsidRDefault="00A269A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color w:val="000000"/>
          <w:sz w:val="24"/>
          <w:szCs w:val="24"/>
        </w:rPr>
        <w:t>4</w:t>
      </w:r>
      <w:r>
        <w:rPr>
          <w:rFonts w:ascii="仿宋" w:eastAsia="仿宋" w:hAnsi="仿宋" w:cs="仿宋" w:hint="eastAsia"/>
          <w:color w:val="000000"/>
          <w:sz w:val="24"/>
          <w:szCs w:val="24"/>
        </w:rPr>
        <w:t>）</w:t>
      </w:r>
      <w:r w:rsidR="007036A4">
        <w:rPr>
          <w:rFonts w:ascii="仿宋" w:eastAsia="仿宋" w:hAnsi="仿宋" w:cs="仿宋" w:hint="eastAsia"/>
          <w:color w:val="000000"/>
          <w:sz w:val="24"/>
          <w:szCs w:val="24"/>
        </w:rPr>
        <w:t>教学大纲的编制与执行情况</w:t>
      </w:r>
    </w:p>
    <w:p w:rsidR="00720C2C" w:rsidRPr="00F94CFA" w:rsidRDefault="00DD51FB" w:rsidP="00F94CFA">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本学位点教学大纲，是根据实时教学情况及《0860生物与医药专业学位研究生核心课程指南》的要求，</w:t>
      </w:r>
      <w:r w:rsidR="00945DBD">
        <w:rPr>
          <w:rFonts w:ascii="仿宋" w:eastAsia="仿宋" w:hAnsi="仿宋" w:cs="仿宋" w:hint="eastAsia"/>
          <w:color w:val="000000"/>
          <w:sz w:val="24"/>
          <w:szCs w:val="24"/>
        </w:rPr>
        <w:t>由研究生任课老师编制，学院教授委员会审核，并经分管研究生教学院长同意</w:t>
      </w:r>
      <w:r w:rsidR="001315A2">
        <w:rPr>
          <w:rFonts w:ascii="仿宋" w:eastAsia="仿宋" w:hAnsi="仿宋" w:cs="仿宋" w:hint="eastAsia"/>
          <w:color w:val="000000"/>
          <w:sz w:val="24"/>
          <w:szCs w:val="24"/>
        </w:rPr>
        <w:t>后实施。学校及学院定期督查教师上课情况，所有教师均按大纲的内容，开展教学内容，进行</w:t>
      </w:r>
      <w:r w:rsidR="00AA4996">
        <w:rPr>
          <w:rFonts w:ascii="仿宋" w:eastAsia="仿宋" w:hAnsi="仿宋" w:cs="仿宋" w:hint="eastAsia"/>
          <w:color w:val="000000"/>
          <w:sz w:val="24"/>
          <w:szCs w:val="24"/>
        </w:rPr>
        <w:t>学生培养。</w:t>
      </w:r>
      <w:r w:rsidR="00D5757C">
        <w:rPr>
          <w:rFonts w:ascii="仿宋" w:eastAsia="仿宋" w:hAnsi="仿宋" w:cs="仿宋" w:hint="eastAsia"/>
          <w:color w:val="000000"/>
          <w:sz w:val="24"/>
          <w:szCs w:val="24"/>
        </w:rPr>
        <w:t>本学位点</w:t>
      </w:r>
      <w:r w:rsidR="00D5757C">
        <w:rPr>
          <w:rFonts w:ascii="仿宋" w:eastAsia="仿宋" w:hAnsi="仿宋" w:cs="仿宋"/>
          <w:color w:val="000000"/>
          <w:sz w:val="24"/>
          <w:szCs w:val="24"/>
        </w:rPr>
        <w:t>所有课程均</w:t>
      </w:r>
      <w:r w:rsidR="00D5757C">
        <w:rPr>
          <w:rFonts w:ascii="仿宋" w:eastAsia="仿宋" w:hAnsi="仿宋" w:cs="仿宋" w:hint="eastAsia"/>
          <w:color w:val="000000"/>
          <w:sz w:val="24"/>
          <w:szCs w:val="24"/>
        </w:rPr>
        <w:t>更新</w:t>
      </w:r>
      <w:r w:rsidR="00D5757C">
        <w:rPr>
          <w:rFonts w:ascii="仿宋" w:eastAsia="仿宋" w:hAnsi="仿宋" w:cs="仿宋"/>
          <w:color w:val="000000"/>
          <w:sz w:val="24"/>
          <w:szCs w:val="24"/>
        </w:rPr>
        <w:t>了教学大纲，对教学目的和教学要求、教学内容、教学方式、考核方式和参考书目等进行了</w:t>
      </w:r>
      <w:r w:rsidR="00D5757C">
        <w:rPr>
          <w:rFonts w:ascii="仿宋" w:eastAsia="仿宋" w:hAnsi="仿宋" w:cs="仿宋" w:hint="eastAsia"/>
          <w:color w:val="000000"/>
          <w:sz w:val="24"/>
          <w:szCs w:val="24"/>
        </w:rPr>
        <w:t>新的</w:t>
      </w:r>
      <w:r w:rsidR="00D5757C">
        <w:rPr>
          <w:rFonts w:ascii="仿宋" w:eastAsia="仿宋" w:hAnsi="仿宋" w:cs="仿宋"/>
          <w:color w:val="000000"/>
          <w:sz w:val="24"/>
          <w:szCs w:val="24"/>
        </w:rPr>
        <w:t>规定</w:t>
      </w:r>
      <w:r w:rsidR="00D5757C">
        <w:rPr>
          <w:rFonts w:ascii="仿宋" w:eastAsia="仿宋" w:hAnsi="仿宋" w:cs="仿宋" w:hint="eastAsia"/>
          <w:color w:val="000000"/>
          <w:sz w:val="24"/>
          <w:szCs w:val="24"/>
        </w:rPr>
        <w:t>，并严格按照新教学大纲的要求执行。</w:t>
      </w:r>
    </w:p>
    <w:p w:rsidR="00247192" w:rsidRDefault="0024719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（5）教材的选用与建设情况</w:t>
      </w:r>
    </w:p>
    <w:p w:rsidR="00247192" w:rsidRDefault="002D6CBC" w:rsidP="002B5771">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在教材方面，</w:t>
      </w:r>
      <w:r>
        <w:rPr>
          <w:rFonts w:ascii="仿宋" w:eastAsia="仿宋" w:hAnsi="仿宋" w:cs="仿宋"/>
          <w:color w:val="000000"/>
          <w:sz w:val="24"/>
          <w:szCs w:val="24"/>
        </w:rPr>
        <w:t>鼓励任课教师选用规划教材</w:t>
      </w:r>
      <w:r>
        <w:rPr>
          <w:rFonts w:ascii="仿宋" w:eastAsia="仿宋" w:hAnsi="仿宋" w:cs="仿宋" w:hint="eastAsia"/>
          <w:color w:val="000000"/>
          <w:sz w:val="24"/>
          <w:szCs w:val="24"/>
        </w:rPr>
        <w:t>或研究生的经典教材，同时，鼓励教师</w:t>
      </w:r>
      <w:r>
        <w:rPr>
          <w:rFonts w:ascii="仿宋" w:eastAsia="仿宋" w:hAnsi="仿宋" w:cs="仿宋"/>
          <w:color w:val="000000"/>
          <w:sz w:val="24"/>
          <w:szCs w:val="24"/>
        </w:rPr>
        <w:t>自编符合人才培养目标要求的优秀教材、讲义。</w:t>
      </w:r>
      <w:r w:rsidR="000F73D1">
        <w:rPr>
          <w:rFonts w:ascii="仿宋" w:eastAsia="仿宋" w:hAnsi="仿宋" w:cs="仿宋" w:hint="eastAsia"/>
          <w:color w:val="000000"/>
          <w:sz w:val="24"/>
          <w:szCs w:val="24"/>
        </w:rPr>
        <w:t>所有教材的选用均经过学院严格审查，</w:t>
      </w:r>
      <w:r w:rsidR="00363D3E">
        <w:rPr>
          <w:rFonts w:ascii="仿宋" w:eastAsia="仿宋" w:hAnsi="仿宋" w:cs="仿宋" w:hint="eastAsia"/>
          <w:color w:val="000000"/>
          <w:sz w:val="24"/>
          <w:szCs w:val="24"/>
        </w:rPr>
        <w:t>自本学位点招生以来，连续3年共有</w:t>
      </w:r>
      <w:r w:rsidR="00532206">
        <w:rPr>
          <w:rFonts w:ascii="仿宋" w:eastAsia="仿宋" w:hAnsi="仿宋" w:cs="仿宋"/>
          <w:color w:val="000000"/>
          <w:sz w:val="24"/>
          <w:szCs w:val="24"/>
        </w:rPr>
        <w:t>2</w:t>
      </w:r>
      <w:r w:rsidR="00363D3E">
        <w:rPr>
          <w:rFonts w:ascii="仿宋" w:eastAsia="仿宋" w:hAnsi="仿宋" w:cs="仿宋" w:hint="eastAsia"/>
          <w:color w:val="000000"/>
          <w:sz w:val="24"/>
          <w:szCs w:val="24"/>
        </w:rPr>
        <w:t>位老师针对所教授课程及学科特色，申报获批</w:t>
      </w:r>
      <w:r w:rsidR="00532206">
        <w:rPr>
          <w:rFonts w:ascii="仿宋" w:eastAsia="仿宋" w:hAnsi="仿宋" w:cs="仿宋" w:hint="eastAsia"/>
          <w:color w:val="000000"/>
          <w:sz w:val="24"/>
          <w:szCs w:val="24"/>
        </w:rPr>
        <w:t>教材</w:t>
      </w:r>
      <w:r w:rsidR="00363D3E">
        <w:rPr>
          <w:rFonts w:ascii="仿宋" w:eastAsia="仿宋" w:hAnsi="仿宋" w:cs="仿宋" w:hint="eastAsia"/>
          <w:color w:val="000000"/>
          <w:sz w:val="24"/>
          <w:szCs w:val="24"/>
        </w:rPr>
        <w:t>建设项目立项</w:t>
      </w:r>
      <w:r w:rsidR="003B37AC">
        <w:rPr>
          <w:rFonts w:ascii="仿宋" w:eastAsia="仿宋" w:hAnsi="仿宋" w:cs="仿宋" w:hint="eastAsia"/>
          <w:color w:val="000000"/>
          <w:sz w:val="24"/>
          <w:szCs w:val="24"/>
        </w:rPr>
        <w:t>。</w:t>
      </w:r>
    </w:p>
    <w:p w:rsidR="00247192" w:rsidRDefault="00247192">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（6）课程教学所取得的成效</w:t>
      </w:r>
    </w:p>
    <w:p w:rsidR="00667968" w:rsidRPr="00EB6400" w:rsidRDefault="0056427B" w:rsidP="00EB64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w:t>
      </w:r>
      <w:r w:rsidRPr="0056427B">
        <w:rPr>
          <w:rFonts w:ascii="仿宋" w:eastAsia="仿宋" w:hAnsi="仿宋" w:cs="仿宋" w:hint="eastAsia"/>
          <w:color w:val="000000"/>
          <w:sz w:val="24"/>
          <w:szCs w:val="24"/>
        </w:rPr>
        <w:t>基因工程</w:t>
      </w:r>
      <w:r>
        <w:rPr>
          <w:rFonts w:ascii="仿宋" w:eastAsia="仿宋" w:hAnsi="仿宋" w:cs="仿宋" w:hint="eastAsia"/>
          <w:color w:val="000000"/>
          <w:sz w:val="24"/>
          <w:szCs w:val="24"/>
        </w:rPr>
        <w:t>》等3门课，已申报获批优质课程建设项目立项</w:t>
      </w:r>
      <w:r w:rsidR="00F80543">
        <w:rPr>
          <w:rFonts w:ascii="仿宋" w:eastAsia="仿宋" w:hAnsi="仿宋" w:cs="仿宋" w:hint="eastAsia"/>
          <w:color w:val="000000"/>
          <w:sz w:val="24"/>
          <w:szCs w:val="24"/>
        </w:rPr>
        <w:t>。</w:t>
      </w:r>
      <w:r w:rsidR="00470F15">
        <w:rPr>
          <w:rFonts w:ascii="仿宋" w:eastAsia="仿宋" w:hAnsi="仿宋" w:cs="仿宋" w:hint="eastAsia"/>
          <w:color w:val="000000"/>
          <w:sz w:val="24"/>
          <w:szCs w:val="24"/>
        </w:rPr>
        <w:t>在教学质量过程监控开展情况方面</w:t>
      </w:r>
      <w:r w:rsidR="00470F15" w:rsidRPr="005D1F93">
        <w:rPr>
          <w:rFonts w:ascii="仿宋" w:eastAsia="仿宋" w:hAnsi="仿宋" w:cs="仿宋" w:hint="eastAsia"/>
          <w:color w:val="000000" w:themeColor="text1"/>
          <w:sz w:val="24"/>
          <w:szCs w:val="24"/>
        </w:rPr>
        <w:t>，</w:t>
      </w:r>
      <w:r w:rsidR="00470F15">
        <w:rPr>
          <w:rFonts w:ascii="仿宋" w:eastAsia="仿宋" w:hAnsi="仿宋" w:cs="仿宋" w:hint="eastAsia"/>
          <w:sz w:val="24"/>
          <w:szCs w:val="24"/>
        </w:rPr>
        <w:t>2</w:t>
      </w:r>
      <w:r w:rsidR="00470F15">
        <w:rPr>
          <w:rFonts w:ascii="仿宋" w:eastAsia="仿宋" w:hAnsi="仿宋" w:cs="仿宋"/>
          <w:sz w:val="24"/>
          <w:szCs w:val="24"/>
        </w:rPr>
        <w:t>023</w:t>
      </w:r>
      <w:r w:rsidR="00470F15">
        <w:rPr>
          <w:rFonts w:ascii="仿宋" w:eastAsia="仿宋" w:hAnsi="仿宋" w:cs="仿宋" w:hint="eastAsia"/>
          <w:sz w:val="24"/>
          <w:szCs w:val="24"/>
        </w:rPr>
        <w:t>年度学校研究生部组织督学专家对本学位点研究生课堂教学听课</w:t>
      </w:r>
      <w:r w:rsidR="007B6379">
        <w:rPr>
          <w:rFonts w:ascii="仿宋" w:eastAsia="仿宋" w:hAnsi="仿宋" w:cs="仿宋"/>
          <w:sz w:val="24"/>
          <w:szCs w:val="24"/>
        </w:rPr>
        <w:t>6</w:t>
      </w:r>
      <w:r w:rsidR="00470F15">
        <w:rPr>
          <w:rFonts w:ascii="仿宋" w:eastAsia="仿宋" w:hAnsi="仿宋" w:cs="仿宋" w:hint="eastAsia"/>
          <w:sz w:val="24"/>
          <w:szCs w:val="24"/>
        </w:rPr>
        <w:t>次，学院组织领导班子课堂检查1</w:t>
      </w:r>
      <w:r w:rsidR="007B6379">
        <w:rPr>
          <w:rFonts w:ascii="仿宋" w:eastAsia="仿宋" w:hAnsi="仿宋" w:cs="仿宋"/>
          <w:sz w:val="24"/>
          <w:szCs w:val="24"/>
        </w:rPr>
        <w:t>2</w:t>
      </w:r>
      <w:r w:rsidR="00470F15">
        <w:rPr>
          <w:rFonts w:ascii="仿宋" w:eastAsia="仿宋" w:hAnsi="仿宋" w:cs="仿宋" w:hint="eastAsia"/>
          <w:sz w:val="24"/>
          <w:szCs w:val="24"/>
        </w:rPr>
        <w:t>次。从监督听课和抽查结果来看，各位任课教师备课认真，准备充分，上课精神饱满，多采用了多媒体等现代教学手段，课堂纪律好，出勤率高，总体教学质量高。定期开展各类教学档案检查，包括教学大纲、考试试卷、成绩表、成绩分析等，本学位点检查结果均为优秀。</w:t>
      </w:r>
      <w:r w:rsidR="001D0D3B">
        <w:rPr>
          <w:rFonts w:ascii="仿宋" w:eastAsia="仿宋" w:hAnsi="仿宋" w:cs="仿宋" w:hint="eastAsia"/>
          <w:color w:val="000000"/>
          <w:sz w:val="24"/>
          <w:szCs w:val="24"/>
        </w:rPr>
        <w:t>202</w:t>
      </w:r>
      <w:r w:rsidR="001D0D3B">
        <w:rPr>
          <w:rFonts w:ascii="仿宋" w:eastAsia="仿宋" w:hAnsi="仿宋" w:cs="仿宋"/>
          <w:color w:val="000000"/>
          <w:sz w:val="24"/>
          <w:szCs w:val="24"/>
        </w:rPr>
        <w:t>3</w:t>
      </w:r>
      <w:r w:rsidR="001D0D3B">
        <w:rPr>
          <w:rFonts w:ascii="仿宋" w:eastAsia="仿宋" w:hAnsi="仿宋" w:cs="仿宋" w:hint="eastAsia"/>
          <w:color w:val="000000"/>
          <w:sz w:val="24"/>
          <w:szCs w:val="24"/>
        </w:rPr>
        <w:t>年，本学位授权点学生评教结果表明“总体课程教学质量为优秀，学生满意度高”，课程教学质量好。</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5.实践教学</w:t>
      </w:r>
    </w:p>
    <w:p w:rsidR="008201EC" w:rsidRDefault="008201EC">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本学位点实践教学分为：工程训练或专题实训、专业实践</w:t>
      </w:r>
      <w:r w:rsidR="00A21F9E">
        <w:rPr>
          <w:rFonts w:ascii="仿宋" w:eastAsia="仿宋" w:hAnsi="仿宋" w:cs="仿宋" w:hint="eastAsia"/>
          <w:color w:val="000000"/>
          <w:sz w:val="24"/>
          <w:szCs w:val="24"/>
        </w:rPr>
        <w:t>两种要求，其中工</w:t>
      </w:r>
      <w:r w:rsidR="00A21F9E">
        <w:rPr>
          <w:rFonts w:ascii="仿宋" w:eastAsia="仿宋" w:hAnsi="仿宋" w:cs="仿宋" w:hint="eastAsia"/>
          <w:color w:val="000000"/>
          <w:sz w:val="24"/>
          <w:szCs w:val="24"/>
        </w:rPr>
        <w:lastRenderedPageBreak/>
        <w:t>程训练或专题实训一般在校内完成，主要是在校内的实验室、实践中心、工程中心和研究院进行工艺和操作的实训，对所学知识进行熟悉和掌握。</w:t>
      </w:r>
      <w:r w:rsidR="006D3BFD">
        <w:rPr>
          <w:rFonts w:ascii="仿宋" w:eastAsia="仿宋" w:hAnsi="仿宋" w:cs="仿宋" w:hint="eastAsia"/>
          <w:color w:val="000000"/>
          <w:sz w:val="24"/>
          <w:szCs w:val="24"/>
        </w:rPr>
        <w:t>到与本学位点签订专业实践基地协议的企业去，以企业导师为主，校内导师为辅共同指导学生基于</w:t>
      </w:r>
      <w:r w:rsidR="00C915BD">
        <w:rPr>
          <w:rFonts w:ascii="仿宋" w:eastAsia="仿宋" w:hAnsi="仿宋" w:cs="仿宋" w:hint="eastAsia"/>
          <w:color w:val="000000"/>
          <w:sz w:val="24"/>
          <w:szCs w:val="24"/>
        </w:rPr>
        <w:t>生产实际问题，</w:t>
      </w:r>
      <w:r w:rsidR="002F6843">
        <w:rPr>
          <w:rFonts w:ascii="仿宋" w:eastAsia="仿宋" w:hAnsi="仿宋" w:cs="仿宋" w:hint="eastAsia"/>
          <w:color w:val="000000"/>
          <w:sz w:val="24"/>
          <w:szCs w:val="24"/>
        </w:rPr>
        <w:t>凝练</w:t>
      </w:r>
      <w:r w:rsidR="004866C2">
        <w:rPr>
          <w:rFonts w:ascii="仿宋" w:eastAsia="仿宋" w:hAnsi="仿宋" w:cs="仿宋" w:hint="eastAsia"/>
          <w:color w:val="000000"/>
          <w:sz w:val="24"/>
          <w:szCs w:val="24"/>
        </w:rPr>
        <w:t>科学问题</w:t>
      </w:r>
      <w:r w:rsidR="000565B3">
        <w:rPr>
          <w:rFonts w:ascii="仿宋" w:eastAsia="仿宋" w:hAnsi="仿宋" w:cs="仿宋" w:hint="eastAsia"/>
          <w:color w:val="000000"/>
          <w:sz w:val="24"/>
          <w:szCs w:val="24"/>
        </w:rPr>
        <w:t>，</w:t>
      </w:r>
      <w:r w:rsidR="000B2698">
        <w:rPr>
          <w:rFonts w:ascii="仿宋" w:eastAsia="仿宋" w:hAnsi="仿宋" w:cs="仿宋" w:hint="eastAsia"/>
          <w:color w:val="000000"/>
          <w:sz w:val="24"/>
          <w:szCs w:val="24"/>
        </w:rPr>
        <w:t>研究生产过程中的科学问题。</w:t>
      </w:r>
      <w:r w:rsidR="00AF5889">
        <w:rPr>
          <w:rFonts w:ascii="仿宋" w:eastAsia="仿宋" w:hAnsi="仿宋" w:cs="仿宋" w:hint="eastAsia"/>
          <w:color w:val="000000"/>
          <w:sz w:val="24"/>
          <w:szCs w:val="24"/>
        </w:rPr>
        <w:t>专业实践</w:t>
      </w:r>
      <w:r w:rsidR="00FC4242">
        <w:rPr>
          <w:rFonts w:ascii="仿宋" w:eastAsia="仿宋" w:hAnsi="仿宋" w:cs="仿宋" w:hint="eastAsia"/>
          <w:color w:val="000000"/>
          <w:sz w:val="24"/>
          <w:szCs w:val="24"/>
        </w:rPr>
        <w:t>实践一般不少于1年时间</w:t>
      </w:r>
      <w:r w:rsidR="00AE29DB">
        <w:rPr>
          <w:rFonts w:ascii="仿宋" w:eastAsia="仿宋" w:hAnsi="仿宋" w:cs="仿宋" w:hint="eastAsia"/>
          <w:color w:val="000000"/>
          <w:sz w:val="24"/>
          <w:szCs w:val="24"/>
        </w:rPr>
        <w:t>，该环节是</w:t>
      </w:r>
      <w:r w:rsidR="00AB77E0">
        <w:rPr>
          <w:rFonts w:ascii="仿宋" w:eastAsia="仿宋" w:hAnsi="仿宋" w:cs="仿宋" w:hint="eastAsia"/>
          <w:color w:val="000000"/>
          <w:sz w:val="24"/>
          <w:szCs w:val="24"/>
        </w:rPr>
        <w:t>本学位点的</w:t>
      </w:r>
      <w:r w:rsidR="00AE29DB">
        <w:rPr>
          <w:rFonts w:ascii="仿宋" w:eastAsia="仿宋" w:hAnsi="仿宋" w:cs="仿宋" w:hint="eastAsia"/>
          <w:color w:val="000000"/>
          <w:sz w:val="24"/>
          <w:szCs w:val="24"/>
        </w:rPr>
        <w:t>必修课程，</w:t>
      </w:r>
      <w:r w:rsidR="00891857">
        <w:rPr>
          <w:rFonts w:ascii="仿宋" w:eastAsia="仿宋" w:hAnsi="仿宋" w:cs="仿宋" w:hint="eastAsia"/>
          <w:color w:val="000000"/>
          <w:sz w:val="24"/>
          <w:szCs w:val="24"/>
        </w:rPr>
        <w:t>实践结束后由实践导师及单位给出评价。</w:t>
      </w:r>
      <w:r w:rsidR="00B97F00">
        <w:rPr>
          <w:rFonts w:ascii="仿宋" w:eastAsia="仿宋" w:hAnsi="仿宋" w:cs="仿宋" w:hint="eastAsia"/>
          <w:color w:val="000000"/>
          <w:sz w:val="24"/>
          <w:szCs w:val="24"/>
        </w:rPr>
        <w:t>从学生反馈的情况</w:t>
      </w:r>
      <w:r w:rsidR="00502711">
        <w:rPr>
          <w:rFonts w:ascii="仿宋" w:eastAsia="仿宋" w:hAnsi="仿宋" w:cs="仿宋" w:hint="eastAsia"/>
          <w:color w:val="000000"/>
          <w:sz w:val="24"/>
          <w:szCs w:val="24"/>
        </w:rPr>
        <w:t>看，</w:t>
      </w:r>
      <w:r w:rsidR="002F271E">
        <w:rPr>
          <w:rFonts w:ascii="仿宋" w:eastAsia="仿宋" w:hAnsi="仿宋" w:cs="仿宋" w:hint="eastAsia"/>
          <w:color w:val="000000"/>
          <w:sz w:val="24"/>
          <w:szCs w:val="24"/>
        </w:rPr>
        <w:t>学生满意度高，促进了</w:t>
      </w:r>
      <w:r w:rsidR="0047043E">
        <w:rPr>
          <w:rFonts w:ascii="仿宋" w:eastAsia="仿宋" w:hAnsi="仿宋" w:cs="仿宋" w:hint="eastAsia"/>
          <w:color w:val="000000"/>
          <w:sz w:val="24"/>
          <w:szCs w:val="24"/>
        </w:rPr>
        <w:t>产学研融合，使学生提前熟悉行业</w:t>
      </w:r>
      <w:r w:rsidR="004774B4">
        <w:rPr>
          <w:rFonts w:ascii="仿宋" w:eastAsia="仿宋" w:hAnsi="仿宋" w:cs="仿宋" w:hint="eastAsia"/>
          <w:color w:val="000000"/>
          <w:sz w:val="24"/>
          <w:szCs w:val="24"/>
        </w:rPr>
        <w:t>状态</w:t>
      </w:r>
      <w:r w:rsidR="003A4E01">
        <w:rPr>
          <w:rFonts w:ascii="仿宋" w:eastAsia="仿宋" w:hAnsi="仿宋" w:cs="仿宋" w:hint="eastAsia"/>
          <w:color w:val="000000"/>
          <w:sz w:val="24"/>
          <w:szCs w:val="24"/>
        </w:rPr>
        <w:t>。</w:t>
      </w:r>
    </w:p>
    <w:p w:rsidR="000005CB" w:rsidRDefault="00814427">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在教学过程中，学院邀请了</w:t>
      </w:r>
      <w:r w:rsidR="00BF6332">
        <w:rPr>
          <w:rFonts w:ascii="仿宋" w:eastAsia="仿宋" w:hAnsi="仿宋" w:cs="仿宋" w:hint="eastAsia"/>
          <w:color w:val="000000"/>
          <w:sz w:val="24"/>
          <w:szCs w:val="24"/>
        </w:rPr>
        <w:t>行业知名专家进行授课，如泸州老窖集团有限公司、川酒集团公司等</w:t>
      </w:r>
      <w:r w:rsidR="00FE7361">
        <w:rPr>
          <w:rFonts w:ascii="仿宋" w:eastAsia="仿宋" w:hAnsi="仿宋" w:cs="仿宋" w:hint="eastAsia"/>
          <w:color w:val="000000"/>
          <w:sz w:val="24"/>
          <w:szCs w:val="24"/>
        </w:rPr>
        <w:t>专家</w:t>
      </w:r>
      <w:r w:rsidR="001D3357">
        <w:rPr>
          <w:rFonts w:ascii="仿宋" w:eastAsia="仿宋" w:hAnsi="仿宋" w:cs="仿宋" w:hint="eastAsia"/>
          <w:color w:val="000000"/>
          <w:sz w:val="24"/>
          <w:szCs w:val="24"/>
        </w:rPr>
        <w:t>为学生讲述</w:t>
      </w:r>
      <w:r w:rsidR="007D2F67">
        <w:rPr>
          <w:rFonts w:ascii="仿宋" w:eastAsia="仿宋" w:hAnsi="仿宋" w:cs="仿宋" w:hint="eastAsia"/>
          <w:color w:val="000000"/>
          <w:sz w:val="24"/>
          <w:szCs w:val="24"/>
        </w:rPr>
        <w:t>行业发展、生产中的实际状况及发展方向。</w:t>
      </w:r>
    </w:p>
    <w:p w:rsidR="00B34BA9" w:rsidRDefault="00A7002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与</w:t>
      </w:r>
      <w:r w:rsidR="007A39BA" w:rsidRPr="007A39BA">
        <w:rPr>
          <w:rFonts w:ascii="仿宋" w:eastAsia="仿宋" w:hAnsi="仿宋" w:cs="仿宋" w:hint="eastAsia"/>
          <w:color w:val="000000"/>
          <w:sz w:val="24"/>
          <w:szCs w:val="24"/>
        </w:rPr>
        <w:t>宜宾五粮液集团有限公司</w:t>
      </w:r>
      <w:r w:rsidR="00E91091">
        <w:rPr>
          <w:rFonts w:ascii="仿宋" w:eastAsia="仿宋" w:hAnsi="仿宋" w:cs="仿宋" w:hint="eastAsia"/>
          <w:color w:val="000000"/>
          <w:sz w:val="24"/>
          <w:szCs w:val="24"/>
        </w:rPr>
        <w:t>、泸州老窖</w:t>
      </w:r>
      <w:r w:rsidR="00A03FCA">
        <w:rPr>
          <w:rFonts w:ascii="仿宋" w:eastAsia="仿宋" w:hAnsi="仿宋" w:cs="仿宋" w:hint="eastAsia"/>
          <w:color w:val="000000"/>
          <w:sz w:val="24"/>
          <w:szCs w:val="24"/>
        </w:rPr>
        <w:t>股份有限公司等</w:t>
      </w:r>
      <w:r w:rsidR="002F4A9E">
        <w:rPr>
          <w:rFonts w:ascii="仿宋" w:eastAsia="仿宋" w:hAnsi="仿宋" w:cs="仿宋" w:hint="eastAsia"/>
          <w:color w:val="000000"/>
          <w:sz w:val="24"/>
          <w:szCs w:val="24"/>
        </w:rPr>
        <w:t>共建专业实践基地，培养学生发表领域相关论文</w:t>
      </w:r>
      <w:r w:rsidR="00B433CE">
        <w:rPr>
          <w:rFonts w:ascii="仿宋" w:eastAsia="仿宋" w:hAnsi="仿宋" w:cs="仿宋"/>
          <w:color w:val="000000"/>
          <w:sz w:val="24"/>
          <w:szCs w:val="24"/>
        </w:rPr>
        <w:t>3</w:t>
      </w:r>
      <w:r w:rsidR="002F4A9E">
        <w:rPr>
          <w:rFonts w:ascii="仿宋" w:eastAsia="仿宋" w:hAnsi="仿宋" w:cs="仿宋"/>
          <w:color w:val="000000"/>
          <w:sz w:val="24"/>
          <w:szCs w:val="24"/>
        </w:rPr>
        <w:t>0</w:t>
      </w:r>
      <w:r w:rsidR="002F4A9E">
        <w:rPr>
          <w:rFonts w:ascii="仿宋" w:eastAsia="仿宋" w:hAnsi="仿宋" w:cs="仿宋" w:hint="eastAsia"/>
          <w:color w:val="000000"/>
          <w:sz w:val="24"/>
          <w:szCs w:val="24"/>
        </w:rPr>
        <w:t>余篇，</w:t>
      </w:r>
      <w:r w:rsidR="00EA22A5" w:rsidRPr="00EA22A5">
        <w:rPr>
          <w:rFonts w:ascii="仿宋" w:eastAsia="仿宋" w:hAnsi="仿宋" w:cs="仿宋" w:hint="eastAsia"/>
          <w:color w:val="000000"/>
          <w:sz w:val="24"/>
          <w:szCs w:val="24"/>
        </w:rPr>
        <w:t>通过基地的专业实践，学生的应用能力得到锻炼和提升。</w:t>
      </w:r>
    </w:p>
    <w:p w:rsidR="00490393" w:rsidRPr="00EA22A5" w:rsidRDefault="00B34BA9">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有1</w:t>
      </w:r>
      <w:r>
        <w:rPr>
          <w:rFonts w:ascii="仿宋" w:eastAsia="仿宋" w:hAnsi="仿宋" w:cs="仿宋"/>
          <w:color w:val="000000"/>
          <w:sz w:val="24"/>
          <w:szCs w:val="24"/>
        </w:rPr>
        <w:t>5</w:t>
      </w:r>
      <w:r>
        <w:rPr>
          <w:rFonts w:ascii="仿宋" w:eastAsia="仿宋" w:hAnsi="仿宋" w:cs="仿宋" w:hint="eastAsia"/>
          <w:color w:val="000000"/>
          <w:sz w:val="24"/>
          <w:szCs w:val="24"/>
        </w:rPr>
        <w:t>名学生考取了教师资格证书。</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6.学术交流</w:t>
      </w:r>
    </w:p>
    <w:p w:rsidR="00C064A5" w:rsidRPr="009B31DA" w:rsidRDefault="00C064A5" w:rsidP="009B31DA">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color w:val="000000"/>
          <w:sz w:val="24"/>
          <w:szCs w:val="24"/>
        </w:rPr>
        <w:t>本学位点攻读学位的留学生3个，</w:t>
      </w:r>
      <w:r w:rsidR="0065296A">
        <w:rPr>
          <w:rFonts w:ascii="仿宋" w:eastAsia="仿宋" w:hAnsi="仿宋" w:cs="仿宋" w:hint="eastAsia"/>
          <w:color w:val="000000"/>
          <w:sz w:val="24"/>
          <w:szCs w:val="24"/>
        </w:rPr>
        <w:t>根据</w:t>
      </w:r>
      <w:r w:rsidR="0065296A">
        <w:rPr>
          <w:rFonts w:ascii="仿宋" w:eastAsia="仿宋" w:hAnsi="仿宋" w:cs="仿宋"/>
          <w:color w:val="000000"/>
          <w:sz w:val="24"/>
          <w:szCs w:val="24"/>
        </w:rPr>
        <w:t>学校制定</w:t>
      </w:r>
      <w:r w:rsidR="0065296A">
        <w:rPr>
          <w:rFonts w:ascii="仿宋" w:eastAsia="仿宋" w:hAnsi="仿宋" w:cs="仿宋" w:hint="eastAsia"/>
          <w:color w:val="000000"/>
          <w:sz w:val="24"/>
          <w:szCs w:val="24"/>
        </w:rPr>
        <w:t>的</w:t>
      </w:r>
      <w:r w:rsidR="0065296A">
        <w:rPr>
          <w:rFonts w:ascii="仿宋" w:eastAsia="仿宋" w:hAnsi="仿宋" w:cs="仿宋"/>
          <w:color w:val="000000"/>
          <w:sz w:val="24"/>
          <w:szCs w:val="24"/>
        </w:rPr>
        <w:t>《</w:t>
      </w:r>
      <w:r w:rsidR="0065296A">
        <w:rPr>
          <w:rFonts w:ascii="仿宋" w:eastAsia="仿宋" w:hAnsi="仿宋" w:cs="仿宋" w:hint="eastAsia"/>
          <w:color w:val="000000"/>
          <w:sz w:val="24"/>
          <w:szCs w:val="24"/>
        </w:rPr>
        <w:t>四川轻化工大学</w:t>
      </w:r>
      <w:r w:rsidR="0065296A">
        <w:rPr>
          <w:rFonts w:ascii="仿宋" w:eastAsia="仿宋" w:hAnsi="仿宋" w:cs="仿宋"/>
          <w:color w:val="000000"/>
          <w:sz w:val="24"/>
          <w:szCs w:val="24"/>
        </w:rPr>
        <w:t>研究生学术交流活动考核实施办法》</w:t>
      </w:r>
      <w:r w:rsidR="0065296A">
        <w:rPr>
          <w:rFonts w:ascii="仿宋" w:eastAsia="仿宋" w:hAnsi="仿宋" w:cs="仿宋" w:hint="eastAsia"/>
          <w:sz w:val="24"/>
          <w:szCs w:val="24"/>
        </w:rPr>
        <w:t>文件</w:t>
      </w:r>
      <w:r w:rsidR="0065296A">
        <w:rPr>
          <w:rFonts w:ascii="仿宋" w:eastAsia="仿宋" w:hAnsi="仿宋" w:cs="仿宋"/>
          <w:sz w:val="24"/>
          <w:szCs w:val="24"/>
        </w:rPr>
        <w:t>，对研究生参加国际、国内学术会议及参与校内举行的各类学术讲座或学术交流活动进行规范。</w:t>
      </w:r>
      <w:bookmarkStart w:id="39" w:name="_Hlk127781573"/>
      <w:r w:rsidR="0065296A">
        <w:rPr>
          <w:rFonts w:ascii="仿宋" w:eastAsia="仿宋" w:hAnsi="仿宋" w:cs="仿宋" w:hint="eastAsia"/>
          <w:sz w:val="24"/>
          <w:szCs w:val="24"/>
        </w:rPr>
        <w:t>202</w:t>
      </w:r>
      <w:r w:rsidR="0065296A">
        <w:rPr>
          <w:rFonts w:ascii="仿宋" w:eastAsia="仿宋" w:hAnsi="仿宋" w:cs="仿宋"/>
          <w:sz w:val="24"/>
          <w:szCs w:val="24"/>
        </w:rPr>
        <w:t>3</w:t>
      </w:r>
      <w:r w:rsidR="0065296A">
        <w:rPr>
          <w:rFonts w:ascii="仿宋" w:eastAsia="仿宋" w:hAnsi="仿宋" w:cs="仿宋" w:hint="eastAsia"/>
          <w:sz w:val="24"/>
          <w:szCs w:val="24"/>
        </w:rPr>
        <w:t>年，本学位点以线上或线下的形式邀请国内外知名专家或优秀博士开设专题讲座和学术报告10余次，内容丰富，形式多样。</w:t>
      </w:r>
      <w:r w:rsidR="0065296A" w:rsidRPr="001F48F5">
        <w:rPr>
          <w:rFonts w:ascii="仿宋" w:eastAsia="仿宋" w:hAnsi="仿宋" w:cs="仿宋" w:hint="eastAsia"/>
          <w:sz w:val="24"/>
          <w:szCs w:val="24"/>
        </w:rPr>
        <w:t>学院也组织搭建了研究生交流平台与机制，鼓励同学们汇报交流</w:t>
      </w:r>
      <w:r w:rsidR="0065296A">
        <w:rPr>
          <w:rFonts w:ascii="仿宋" w:eastAsia="仿宋" w:hAnsi="仿宋" w:cs="仿宋" w:hint="eastAsia"/>
          <w:sz w:val="24"/>
          <w:szCs w:val="24"/>
        </w:rPr>
        <w:t>，学生通过线上或线下的形式参加国内外学术会议和校内专题报告近200人次；在校期间每位学生参加校内学术活动至少达6次以上。通过学术交流，优秀研究生心得体会分享等活动，增强了学科研究生的交流、协作能力，培养研究生科学精神。</w:t>
      </w:r>
      <w:bookmarkEnd w:id="39"/>
      <w:r w:rsidR="00F36DC7">
        <w:rPr>
          <w:rFonts w:ascii="仿宋" w:eastAsia="仿宋" w:hAnsi="仿宋" w:cs="仿宋" w:hint="eastAsia"/>
          <w:sz w:val="24"/>
          <w:szCs w:val="24"/>
        </w:rPr>
        <w:t>1</w:t>
      </w:r>
      <w:r w:rsidR="00F36DC7">
        <w:rPr>
          <w:rFonts w:ascii="仿宋" w:eastAsia="仿宋" w:hAnsi="仿宋" w:cs="仿宋"/>
          <w:sz w:val="24"/>
          <w:szCs w:val="24"/>
        </w:rPr>
        <w:t>0</w:t>
      </w:r>
      <w:r w:rsidR="00F36DC7">
        <w:rPr>
          <w:rFonts w:ascii="仿宋" w:eastAsia="仿宋" w:hAnsi="仿宋" w:cs="仿宋" w:hint="eastAsia"/>
          <w:sz w:val="24"/>
          <w:szCs w:val="24"/>
        </w:rPr>
        <w:t>余人参加了</w:t>
      </w:r>
      <w:r w:rsidR="00F36DC7" w:rsidRPr="00F36DC7">
        <w:rPr>
          <w:rFonts w:ascii="仿宋" w:eastAsia="仿宋" w:hAnsi="仿宋" w:cs="仿宋" w:hint="eastAsia"/>
          <w:sz w:val="24"/>
          <w:szCs w:val="24"/>
        </w:rPr>
        <w:t>中国国际互联网“互联网+”大学生创新创业大赛</w:t>
      </w:r>
      <w:r w:rsidR="00F36DC7">
        <w:rPr>
          <w:rFonts w:ascii="仿宋" w:eastAsia="仿宋" w:hAnsi="仿宋" w:cs="仿宋" w:hint="eastAsia"/>
          <w:sz w:val="24"/>
          <w:szCs w:val="24"/>
        </w:rPr>
        <w:t>，</w:t>
      </w:r>
      <w:r w:rsidR="00F36DC7" w:rsidRPr="00F36DC7">
        <w:rPr>
          <w:rFonts w:ascii="仿宋" w:eastAsia="仿宋" w:hAnsi="仿宋" w:cs="仿宋" w:hint="eastAsia"/>
          <w:sz w:val="24"/>
          <w:szCs w:val="24"/>
        </w:rPr>
        <w:t>五粮液杯”中国大学生酒类创新创意大赛</w:t>
      </w:r>
      <w:r w:rsidR="00F36DC7">
        <w:rPr>
          <w:rFonts w:ascii="仿宋" w:eastAsia="仿宋" w:hAnsi="仿宋" w:cs="仿宋" w:hint="eastAsia"/>
          <w:sz w:val="24"/>
          <w:szCs w:val="24"/>
        </w:rPr>
        <w:t>等并获奖</w:t>
      </w:r>
      <w:r w:rsidR="00CA441A">
        <w:rPr>
          <w:rFonts w:ascii="仿宋" w:eastAsia="仿宋" w:hAnsi="仿宋" w:cs="仿宋" w:hint="eastAsia"/>
          <w:sz w:val="24"/>
          <w:szCs w:val="24"/>
        </w:rPr>
        <w:t>。</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7.论文质量</w:t>
      </w:r>
    </w:p>
    <w:p w:rsidR="00656CD0" w:rsidRDefault="00656CD0" w:rsidP="00656CD0">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sz w:val="24"/>
          <w:szCs w:val="24"/>
        </w:rPr>
        <w:t>根据</w:t>
      </w:r>
      <w:r>
        <w:rPr>
          <w:rFonts w:ascii="仿宋" w:eastAsia="仿宋" w:hAnsi="仿宋" w:cs="仿宋"/>
          <w:sz w:val="24"/>
          <w:szCs w:val="24"/>
        </w:rPr>
        <w:t>学校制定</w:t>
      </w:r>
      <w:r>
        <w:rPr>
          <w:rFonts w:ascii="仿宋" w:eastAsia="仿宋" w:hAnsi="仿宋" w:cs="仿宋" w:hint="eastAsia"/>
          <w:sz w:val="24"/>
          <w:szCs w:val="24"/>
        </w:rPr>
        <w:t>的</w:t>
      </w:r>
      <w:r>
        <w:rPr>
          <w:rFonts w:ascii="仿宋" w:eastAsia="仿宋" w:hAnsi="仿宋" w:cs="仿宋"/>
          <w:sz w:val="24"/>
          <w:szCs w:val="24"/>
        </w:rPr>
        <w:t>《</w:t>
      </w:r>
      <w:r>
        <w:rPr>
          <w:rFonts w:ascii="仿宋" w:eastAsia="仿宋" w:hAnsi="仿宋" w:cs="仿宋" w:hint="eastAsia"/>
          <w:sz w:val="24"/>
          <w:szCs w:val="24"/>
        </w:rPr>
        <w:t>四川轻化工大学硕士学位授予工作细则</w:t>
      </w:r>
      <w:r>
        <w:rPr>
          <w:rFonts w:ascii="仿宋" w:eastAsia="仿宋" w:hAnsi="仿宋" w:cs="仿宋"/>
          <w:sz w:val="24"/>
          <w:szCs w:val="24"/>
        </w:rPr>
        <w:t>》、《</w:t>
      </w:r>
      <w:r>
        <w:rPr>
          <w:rFonts w:ascii="仿宋" w:eastAsia="仿宋" w:hAnsi="仿宋" w:cs="仿宋" w:hint="eastAsia"/>
          <w:sz w:val="24"/>
          <w:szCs w:val="24"/>
        </w:rPr>
        <w:t>四川轻化工大学</w:t>
      </w:r>
      <w:r>
        <w:rPr>
          <w:rFonts w:ascii="仿宋" w:eastAsia="仿宋" w:hAnsi="仿宋" w:cs="仿宋"/>
          <w:sz w:val="24"/>
          <w:szCs w:val="24"/>
        </w:rPr>
        <w:t>研究生学位论文开题报告实施细则》、《</w:t>
      </w:r>
      <w:r>
        <w:rPr>
          <w:rFonts w:ascii="仿宋" w:eastAsia="仿宋" w:hAnsi="仿宋" w:cs="仿宋" w:hint="eastAsia"/>
          <w:sz w:val="24"/>
          <w:szCs w:val="24"/>
        </w:rPr>
        <w:t>四川轻化工大学硕士</w:t>
      </w:r>
      <w:r>
        <w:rPr>
          <w:rFonts w:ascii="仿宋" w:eastAsia="仿宋" w:hAnsi="仿宋" w:cs="仿宋"/>
          <w:sz w:val="24"/>
          <w:szCs w:val="24"/>
        </w:rPr>
        <w:t>研究生</w:t>
      </w:r>
      <w:r>
        <w:rPr>
          <w:rFonts w:ascii="仿宋" w:eastAsia="仿宋" w:hAnsi="仿宋" w:cs="仿宋" w:hint="eastAsia"/>
          <w:sz w:val="24"/>
          <w:szCs w:val="24"/>
        </w:rPr>
        <w:t>中期考核</w:t>
      </w:r>
      <w:r>
        <w:rPr>
          <w:rFonts w:ascii="仿宋" w:eastAsia="仿宋" w:hAnsi="仿宋" w:cs="仿宋"/>
          <w:sz w:val="24"/>
          <w:szCs w:val="24"/>
        </w:rPr>
        <w:t>实施细则》等文件，对学位论文选题、论文撰写、论文抽查、评审与答辩、等环节都做了明确要求，导师组及导师指导严格按照文件指导学生，指导过程规范、严谨。</w:t>
      </w:r>
    </w:p>
    <w:p w:rsidR="00656CD0" w:rsidRDefault="00822B1F" w:rsidP="00656CD0">
      <w:pPr>
        <w:pStyle w:val="1"/>
        <w:adjustRightInd w:val="0"/>
        <w:snapToGrid w:val="0"/>
        <w:spacing w:line="420" w:lineRule="exact"/>
        <w:ind w:firstLine="480"/>
        <w:textAlignment w:val="center"/>
        <w:rPr>
          <w:rFonts w:ascii="仿宋" w:eastAsia="仿宋" w:hAnsi="仿宋" w:cs="仿宋"/>
          <w:sz w:val="24"/>
          <w:szCs w:val="24"/>
        </w:rPr>
      </w:pPr>
      <w:bookmarkStart w:id="40" w:name="_Hlk127781591"/>
      <w:r>
        <w:rPr>
          <w:rFonts w:ascii="仿宋" w:eastAsia="仿宋" w:hAnsi="仿宋" w:cs="仿宋" w:hint="eastAsia"/>
          <w:sz w:val="24"/>
          <w:szCs w:val="24"/>
        </w:rPr>
        <w:t>生物与医药</w:t>
      </w:r>
      <w:r w:rsidR="00656CD0">
        <w:rPr>
          <w:rFonts w:ascii="仿宋" w:eastAsia="仿宋" w:hAnsi="仿宋" w:cs="仿宋"/>
          <w:sz w:val="24"/>
          <w:szCs w:val="24"/>
        </w:rPr>
        <w:t>学科</w:t>
      </w:r>
      <w:r>
        <w:rPr>
          <w:rFonts w:ascii="仿宋" w:eastAsia="仿宋" w:hAnsi="仿宋" w:cs="仿宋" w:hint="eastAsia"/>
          <w:sz w:val="24"/>
          <w:szCs w:val="24"/>
        </w:rPr>
        <w:t>类别</w:t>
      </w:r>
      <w:r w:rsidR="00656CD0">
        <w:rPr>
          <w:rFonts w:ascii="仿宋" w:eastAsia="仿宋" w:hAnsi="仿宋" w:cs="仿宋"/>
          <w:sz w:val="24"/>
          <w:szCs w:val="24"/>
        </w:rPr>
        <w:t>要求所有学位论文必须符合查重比例要求（&lt;=20%）才能送审，送审采用校外（3人）专家盲审方式进行。</w:t>
      </w:r>
      <w:bookmarkEnd w:id="40"/>
      <w:r w:rsidR="00656CD0">
        <w:rPr>
          <w:rFonts w:ascii="仿宋" w:eastAsia="仿宋" w:hAnsi="仿宋" w:cs="仿宋" w:hint="eastAsia"/>
          <w:sz w:val="24"/>
          <w:szCs w:val="24"/>
        </w:rPr>
        <w:t>每学年召开学科导师专题会议，开展论文质量分析，讨论提高人才培养质量举措，持续改进学位论文质量。</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lastRenderedPageBreak/>
        <w:t>8.质量保证</w:t>
      </w:r>
    </w:p>
    <w:p w:rsidR="00DC5E49" w:rsidRDefault="000000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内容：培养过程监控与质量保证、学位论文、学位授予、学生分流淘汰等方面的开展情况；导师责任落实情况等。</w:t>
      </w:r>
    </w:p>
    <w:p w:rsidR="00BD6824" w:rsidRDefault="00BD6824" w:rsidP="00BD6824">
      <w:pPr>
        <w:widowControl/>
        <w:spacing w:line="420" w:lineRule="exact"/>
        <w:ind w:firstLineChars="200" w:firstLine="480"/>
        <w:jc w:val="left"/>
        <w:rPr>
          <w:rFonts w:ascii="仿宋" w:eastAsia="仿宋" w:hAnsi="仿宋" w:cs="仿宋"/>
          <w:sz w:val="24"/>
          <w:szCs w:val="24"/>
        </w:rPr>
      </w:pPr>
      <w:r>
        <w:rPr>
          <w:rFonts w:ascii="仿宋" w:eastAsia="仿宋" w:hAnsi="仿宋" w:cs="仿宋"/>
          <w:sz w:val="24"/>
          <w:szCs w:val="24"/>
        </w:rPr>
        <w:t>按照《</w:t>
      </w:r>
      <w:r>
        <w:rPr>
          <w:rFonts w:ascii="仿宋" w:eastAsia="仿宋" w:hAnsi="仿宋" w:cs="仿宋" w:hint="eastAsia"/>
          <w:sz w:val="24"/>
          <w:szCs w:val="24"/>
        </w:rPr>
        <w:t>四川轻化工大学硕士学位授予工作细则</w:t>
      </w:r>
      <w:r>
        <w:rPr>
          <w:rFonts w:ascii="仿宋" w:eastAsia="仿宋" w:hAnsi="仿宋" w:cs="仿宋"/>
          <w:sz w:val="24"/>
          <w:szCs w:val="24"/>
        </w:rPr>
        <w:t>》、《四川</w:t>
      </w:r>
      <w:r>
        <w:rPr>
          <w:rFonts w:ascii="仿宋" w:eastAsia="仿宋" w:hAnsi="仿宋" w:cs="仿宋" w:hint="eastAsia"/>
          <w:sz w:val="24"/>
          <w:szCs w:val="24"/>
        </w:rPr>
        <w:t>轻化工大学</w:t>
      </w:r>
      <w:r>
        <w:rPr>
          <w:rFonts w:ascii="仿宋" w:eastAsia="仿宋" w:hAnsi="仿宋" w:cs="仿宋"/>
          <w:sz w:val="24"/>
          <w:szCs w:val="24"/>
        </w:rPr>
        <w:t>研究生学籍管理规定》和《四川</w:t>
      </w:r>
      <w:r>
        <w:rPr>
          <w:rFonts w:ascii="仿宋" w:eastAsia="仿宋" w:hAnsi="仿宋" w:cs="仿宋" w:hint="eastAsia"/>
          <w:sz w:val="24"/>
          <w:szCs w:val="24"/>
        </w:rPr>
        <w:t>轻化工大学</w:t>
      </w:r>
      <w:r>
        <w:rPr>
          <w:rFonts w:ascii="仿宋" w:eastAsia="仿宋" w:hAnsi="仿宋" w:cs="仿宋"/>
          <w:sz w:val="24"/>
          <w:szCs w:val="24"/>
        </w:rPr>
        <w:t>研究生转专业实施细则</w:t>
      </w:r>
      <w:r>
        <w:rPr>
          <w:rFonts w:ascii="仿宋" w:eastAsia="仿宋" w:hAnsi="仿宋" w:cs="仿宋" w:hint="eastAsia"/>
          <w:sz w:val="24"/>
          <w:szCs w:val="24"/>
        </w:rPr>
        <w:t>（修订）</w:t>
      </w:r>
      <w:r>
        <w:rPr>
          <w:rFonts w:ascii="仿宋" w:eastAsia="仿宋" w:hAnsi="仿宋" w:cs="仿宋"/>
          <w:sz w:val="24"/>
          <w:szCs w:val="24"/>
        </w:rPr>
        <w:t>》等制度，强调培养过程监控，加强学位论文和学位授予管理。</w:t>
      </w:r>
      <w:r>
        <w:rPr>
          <w:rFonts w:ascii="仿宋" w:eastAsia="仿宋" w:hAnsi="仿宋" w:cs="仿宋" w:hint="eastAsia"/>
          <w:sz w:val="24"/>
          <w:szCs w:val="24"/>
        </w:rPr>
        <w:t>202</w:t>
      </w:r>
      <w:r>
        <w:rPr>
          <w:rFonts w:ascii="仿宋" w:eastAsia="仿宋" w:hAnsi="仿宋" w:cs="仿宋"/>
          <w:sz w:val="24"/>
          <w:szCs w:val="24"/>
        </w:rPr>
        <w:t>3</w:t>
      </w:r>
      <w:r>
        <w:rPr>
          <w:rFonts w:ascii="仿宋" w:eastAsia="仿宋" w:hAnsi="仿宋" w:cs="仿宋" w:hint="eastAsia"/>
          <w:sz w:val="24"/>
          <w:szCs w:val="24"/>
        </w:rPr>
        <w:t>年，</w:t>
      </w:r>
      <w:r w:rsidR="005D11C5">
        <w:rPr>
          <w:rFonts w:ascii="仿宋" w:eastAsia="仿宋" w:hAnsi="仿宋" w:cs="仿宋"/>
          <w:sz w:val="24"/>
          <w:szCs w:val="24"/>
        </w:rPr>
        <w:t>5</w:t>
      </w:r>
      <w:r w:rsidR="00866362">
        <w:rPr>
          <w:rFonts w:ascii="仿宋" w:eastAsia="仿宋" w:hAnsi="仿宋" w:cs="仿宋"/>
          <w:sz w:val="24"/>
          <w:szCs w:val="24"/>
        </w:rPr>
        <w:t>1</w:t>
      </w:r>
      <w:r>
        <w:rPr>
          <w:rFonts w:ascii="仿宋" w:eastAsia="仿宋" w:hAnsi="仿宋" w:cs="仿宋" w:hint="eastAsia"/>
          <w:sz w:val="24"/>
          <w:szCs w:val="24"/>
        </w:rPr>
        <w:t>位研究生顺利毕业，并达到授位条件获得硕士学位。</w:t>
      </w:r>
      <w:r w:rsidR="00EE4E23" w:rsidRPr="00EE4E23">
        <w:rPr>
          <w:rFonts w:ascii="仿宋" w:eastAsia="仿宋" w:hAnsi="仿宋" w:cs="仿宋" w:hint="eastAsia"/>
          <w:sz w:val="24"/>
          <w:szCs w:val="24"/>
        </w:rPr>
        <w:t>质量检查关口前移，发挥资格考试、论文开题和中期考核等节点的考核筛查作用</w:t>
      </w:r>
      <w:r w:rsidR="00EE4E23">
        <w:rPr>
          <w:rFonts w:ascii="仿宋" w:eastAsia="仿宋" w:hAnsi="仿宋" w:cs="仿宋" w:hint="eastAsia"/>
          <w:sz w:val="24"/>
          <w:szCs w:val="24"/>
        </w:rPr>
        <w:t>，</w:t>
      </w:r>
      <w:r w:rsidR="00EE4E23" w:rsidRPr="00EE4E23">
        <w:rPr>
          <w:rFonts w:ascii="仿宋" w:eastAsia="仿宋" w:hAnsi="仿宋" w:cs="仿宋" w:hint="eastAsia"/>
          <w:sz w:val="24"/>
          <w:szCs w:val="24"/>
        </w:rPr>
        <w:t>完善落实分流退出机制。1名学生被分流，2名学生延期。</w:t>
      </w:r>
      <w:r w:rsidR="00355A3B">
        <w:rPr>
          <w:rFonts w:ascii="仿宋" w:eastAsia="仿宋" w:hAnsi="仿宋" w:cs="仿宋" w:hint="eastAsia"/>
          <w:sz w:val="24"/>
          <w:szCs w:val="24"/>
        </w:rPr>
        <w:t>细分压实导师责任，加强导师教学环节、培养环节的考核</w:t>
      </w:r>
      <w:r w:rsidR="00373485">
        <w:rPr>
          <w:rFonts w:ascii="仿宋" w:eastAsia="仿宋" w:hAnsi="仿宋" w:cs="仿宋" w:hint="eastAsia"/>
          <w:sz w:val="24"/>
          <w:szCs w:val="24"/>
        </w:rPr>
        <w:t>，确保了研究生培养质量。</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9.学风建设</w:t>
      </w:r>
    </w:p>
    <w:p w:rsidR="00DC5E49" w:rsidRDefault="000000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内容：科学道德与学术规范教育开展的形式、内容、频次以及取得的成效等。</w:t>
      </w:r>
    </w:p>
    <w:p w:rsidR="00444976" w:rsidRDefault="00444976" w:rsidP="00DF709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根据</w:t>
      </w:r>
      <w:r>
        <w:rPr>
          <w:rFonts w:ascii="仿宋" w:eastAsia="仿宋" w:hAnsi="仿宋" w:cs="仿宋"/>
          <w:color w:val="000000"/>
          <w:sz w:val="24"/>
          <w:szCs w:val="24"/>
        </w:rPr>
        <w:t>《</w:t>
      </w:r>
      <w:r>
        <w:rPr>
          <w:rFonts w:ascii="仿宋" w:eastAsia="仿宋" w:hAnsi="仿宋" w:cs="仿宋" w:hint="eastAsia"/>
          <w:color w:val="000000"/>
          <w:sz w:val="24"/>
          <w:szCs w:val="24"/>
        </w:rPr>
        <w:t>四川轻化工大学</w:t>
      </w:r>
      <w:r>
        <w:rPr>
          <w:rFonts w:ascii="仿宋" w:eastAsia="仿宋" w:hAnsi="仿宋" w:cs="仿宋"/>
          <w:color w:val="000000"/>
          <w:sz w:val="24"/>
          <w:szCs w:val="24"/>
        </w:rPr>
        <w:t>研究生学术道德规范》、《四川</w:t>
      </w:r>
      <w:r>
        <w:rPr>
          <w:rFonts w:ascii="仿宋" w:eastAsia="仿宋" w:hAnsi="仿宋" w:cs="仿宋" w:hint="eastAsia"/>
          <w:color w:val="000000"/>
          <w:sz w:val="24"/>
          <w:szCs w:val="24"/>
        </w:rPr>
        <w:t>轻化工大学</w:t>
      </w:r>
      <w:r>
        <w:rPr>
          <w:rFonts w:ascii="仿宋" w:eastAsia="仿宋" w:hAnsi="仿宋" w:cs="仿宋"/>
          <w:color w:val="000000"/>
          <w:sz w:val="24"/>
          <w:szCs w:val="24"/>
        </w:rPr>
        <w:t>学位论文作假行为处理实施细则》等规范性文件</w:t>
      </w:r>
      <w:r>
        <w:rPr>
          <w:rFonts w:ascii="仿宋" w:eastAsia="仿宋" w:hAnsi="仿宋" w:cs="仿宋" w:hint="eastAsia"/>
          <w:color w:val="000000"/>
          <w:sz w:val="24"/>
          <w:szCs w:val="24"/>
        </w:rPr>
        <w:t>的要求，开展学风建设</w:t>
      </w:r>
      <w:r>
        <w:rPr>
          <w:rFonts w:ascii="仿宋" w:eastAsia="仿宋" w:hAnsi="仿宋" w:cs="仿宋"/>
          <w:color w:val="000000"/>
          <w:sz w:val="24"/>
          <w:szCs w:val="24"/>
        </w:rPr>
        <w:t>。学院通过研究生入学教育、专题讲座、学期座谈会、主题教育及课程内穿插强调等进行学风教育，导师组通过研究生例会制度开展研究生的学术道德规范教育，对学术不端行为零容忍，教育效果良好</w:t>
      </w:r>
      <w:r>
        <w:rPr>
          <w:rFonts w:ascii="仿宋" w:eastAsia="仿宋" w:hAnsi="仿宋" w:cs="仿宋" w:hint="eastAsia"/>
          <w:color w:val="000000"/>
          <w:sz w:val="24"/>
          <w:szCs w:val="24"/>
        </w:rPr>
        <w:t>。</w:t>
      </w:r>
      <w:r>
        <w:rPr>
          <w:rFonts w:ascii="仿宋" w:eastAsia="仿宋" w:hAnsi="仿宋" w:cs="仿宋" w:hint="eastAsia"/>
          <w:sz w:val="24"/>
          <w:szCs w:val="24"/>
        </w:rPr>
        <w:t>2</w:t>
      </w:r>
      <w:r>
        <w:rPr>
          <w:rFonts w:ascii="仿宋" w:eastAsia="仿宋" w:hAnsi="仿宋" w:cs="仿宋"/>
          <w:sz w:val="24"/>
          <w:szCs w:val="24"/>
        </w:rPr>
        <w:t>023</w:t>
      </w:r>
      <w:r>
        <w:rPr>
          <w:rFonts w:ascii="仿宋" w:eastAsia="仿宋" w:hAnsi="仿宋" w:cs="仿宋" w:hint="eastAsia"/>
          <w:sz w:val="24"/>
          <w:szCs w:val="24"/>
        </w:rPr>
        <w:t>年，本授权点</w:t>
      </w:r>
      <w:r>
        <w:rPr>
          <w:rFonts w:ascii="仿宋" w:eastAsia="仿宋" w:hAnsi="仿宋" w:cs="仿宋"/>
          <w:sz w:val="24"/>
          <w:szCs w:val="24"/>
        </w:rPr>
        <w:t>未出现学生学术不端行为。</w:t>
      </w:r>
      <w:r w:rsidR="006C5C00">
        <w:rPr>
          <w:rFonts w:ascii="仿宋" w:eastAsia="仿宋" w:hAnsi="仿宋" w:cs="仿宋" w:hint="eastAsia"/>
          <w:sz w:val="24"/>
          <w:szCs w:val="24"/>
        </w:rPr>
        <w:t>线上Q</w:t>
      </w:r>
      <w:r w:rsidR="006C5C00">
        <w:rPr>
          <w:rFonts w:ascii="仿宋" w:eastAsia="仿宋" w:hAnsi="仿宋" w:cs="仿宋"/>
          <w:sz w:val="24"/>
          <w:szCs w:val="24"/>
        </w:rPr>
        <w:t>Q</w:t>
      </w:r>
      <w:r w:rsidR="006C5C00">
        <w:rPr>
          <w:rFonts w:ascii="仿宋" w:eastAsia="仿宋" w:hAnsi="仿宋" w:cs="仿宋" w:hint="eastAsia"/>
          <w:sz w:val="24"/>
          <w:szCs w:val="24"/>
        </w:rPr>
        <w:t>通知、线下班会宣讲等方式开展</w:t>
      </w:r>
      <w:r w:rsidR="006C5C00">
        <w:rPr>
          <w:rFonts w:ascii="仿宋" w:eastAsia="仿宋" w:hAnsi="仿宋" w:cs="仿宋" w:hint="eastAsia"/>
          <w:color w:val="000000"/>
          <w:sz w:val="24"/>
          <w:szCs w:val="24"/>
        </w:rPr>
        <w:t>科学道德与学术规范教育大于1</w:t>
      </w:r>
      <w:r w:rsidR="006C5C00">
        <w:rPr>
          <w:rFonts w:ascii="仿宋" w:eastAsia="仿宋" w:hAnsi="仿宋" w:cs="仿宋"/>
          <w:color w:val="000000"/>
          <w:sz w:val="24"/>
          <w:szCs w:val="24"/>
        </w:rPr>
        <w:t>0</w:t>
      </w:r>
      <w:r w:rsidR="006C5C00">
        <w:rPr>
          <w:rFonts w:ascii="仿宋" w:eastAsia="仿宋" w:hAnsi="仿宋" w:cs="仿宋" w:hint="eastAsia"/>
          <w:color w:val="000000"/>
          <w:sz w:val="24"/>
          <w:szCs w:val="24"/>
        </w:rPr>
        <w:t>次。</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10.管理服务</w:t>
      </w:r>
    </w:p>
    <w:p w:rsidR="00DC5E49" w:rsidRDefault="000000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内容：管理机构的设置情况；管理人员配备情况；研究生权益保障制度建立与执行情况；档案管理情况；研究生满意度调查等情况。</w:t>
      </w:r>
    </w:p>
    <w:p w:rsidR="00DF7095" w:rsidRDefault="00DF7095" w:rsidP="00DF709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学校建立了研究生教育校院二级管理体系。学校层面制定研究生培养的各环节的规章制度，学院层面具体实施，并根据培养学院实际情况制定实施细则。生物与医药专业硕士学位授权点机构由生工-化工学院联合教授委员会、导师组、研究生秘书和研究生辅导员组成。学院成立由院长直接分管的学位与研究生工作办公室，负责专业类别建设与研究生培养过程管理，配置有比较齐全的管理机构和较充足的管理人员，设带头人2人，全面负责专业类别建设和人才培养。导师组负责研究生的指导、培养工作，研究生秘书开展日常教学管理工作，研究生辅导员开展学生思想政治、学风建设等工作。</w:t>
      </w:r>
    </w:p>
    <w:p w:rsidR="00DF7095" w:rsidRDefault="00DF7095" w:rsidP="00DF709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研究生的开题、中期答辩、导师指导、论文撰写、论文审查与答辩等过程严格按规定执行，管理规范得力。</w:t>
      </w:r>
    </w:p>
    <w:p w:rsidR="00DF7095" w:rsidRDefault="00DF7095" w:rsidP="00DF709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本授权点教学资料和学生学档案籍资料由专人保管，保存完好，重要资料由学校档案馆统一保存，一般资料由培养学院保存，管理规范、分工明确。</w:t>
      </w:r>
    </w:p>
    <w:p w:rsidR="00DF7095" w:rsidRPr="00F52D29" w:rsidRDefault="00DF7095" w:rsidP="00F52D29">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2</w:t>
      </w:r>
      <w:r>
        <w:rPr>
          <w:rFonts w:ascii="仿宋" w:eastAsia="仿宋" w:hAnsi="仿宋" w:cs="仿宋"/>
          <w:color w:val="000000"/>
          <w:sz w:val="24"/>
          <w:szCs w:val="24"/>
        </w:rPr>
        <w:t>02</w:t>
      </w:r>
      <w:r w:rsidR="00271390">
        <w:rPr>
          <w:rFonts w:ascii="仿宋" w:eastAsia="仿宋" w:hAnsi="仿宋" w:cs="仿宋"/>
          <w:color w:val="000000"/>
          <w:sz w:val="24"/>
          <w:szCs w:val="24"/>
        </w:rPr>
        <w:t>3</w:t>
      </w:r>
      <w:r>
        <w:rPr>
          <w:rFonts w:ascii="仿宋" w:eastAsia="仿宋" w:hAnsi="仿宋" w:cs="仿宋" w:hint="eastAsia"/>
          <w:color w:val="000000"/>
          <w:sz w:val="24"/>
          <w:szCs w:val="24"/>
        </w:rPr>
        <w:t>年，学生教学满意度调查结果表明，本授权点硕士研究生对在校期间的学习、导师指导、学习环境和氛围、实验条件、科研训练和授课教师满意度等方面的满意程度较高。</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11.培养成效</w:t>
      </w:r>
    </w:p>
    <w:p w:rsidR="00DC5E49" w:rsidRDefault="000000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内容：教学成果获奖情况；学生开展的项目情况；学生发表的论文或作品情况；学生国内外竞赛获奖情况以及学生取得的其他奖励与成果等。</w:t>
      </w:r>
    </w:p>
    <w:p w:rsidR="00C238D5" w:rsidRDefault="007606CC" w:rsidP="00C238D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本学位点老师获</w:t>
      </w:r>
      <w:r w:rsidRPr="007606CC">
        <w:rPr>
          <w:rFonts w:ascii="仿宋" w:eastAsia="仿宋" w:hAnsi="仿宋" w:cs="仿宋" w:hint="eastAsia"/>
          <w:color w:val="000000"/>
          <w:sz w:val="24"/>
          <w:szCs w:val="24"/>
        </w:rPr>
        <w:t>四川轻化工大学首届校级研究生教学成果</w:t>
      </w:r>
      <w:r>
        <w:rPr>
          <w:rFonts w:ascii="仿宋" w:eastAsia="仿宋" w:hAnsi="仿宋" w:cs="仿宋" w:hint="eastAsia"/>
          <w:color w:val="000000"/>
          <w:sz w:val="24"/>
          <w:szCs w:val="24"/>
        </w:rPr>
        <w:t>特等奖。</w:t>
      </w:r>
      <w:r w:rsidR="00C238D5">
        <w:rPr>
          <w:rFonts w:ascii="仿宋" w:eastAsia="仿宋" w:hAnsi="仿宋" w:cs="仿宋" w:hint="eastAsia"/>
          <w:color w:val="000000"/>
          <w:sz w:val="24"/>
          <w:szCs w:val="24"/>
        </w:rPr>
        <w:t>202</w:t>
      </w:r>
      <w:r w:rsidR="00EB3159">
        <w:rPr>
          <w:rFonts w:ascii="仿宋" w:eastAsia="仿宋" w:hAnsi="仿宋" w:cs="仿宋"/>
          <w:color w:val="000000"/>
          <w:sz w:val="24"/>
          <w:szCs w:val="24"/>
        </w:rPr>
        <w:t>3</w:t>
      </w:r>
      <w:r w:rsidR="00C238D5">
        <w:rPr>
          <w:rFonts w:ascii="仿宋" w:eastAsia="仿宋" w:hAnsi="仿宋" w:cs="仿宋" w:hint="eastAsia"/>
          <w:color w:val="000000"/>
          <w:sz w:val="24"/>
          <w:szCs w:val="24"/>
        </w:rPr>
        <w:t>年，本学位授权点研究生参与各类科研项目</w:t>
      </w:r>
      <w:r w:rsidR="00546BE2">
        <w:rPr>
          <w:rFonts w:ascii="仿宋" w:eastAsia="仿宋" w:hAnsi="仿宋" w:cs="仿宋"/>
          <w:color w:val="000000"/>
          <w:sz w:val="24"/>
          <w:szCs w:val="24"/>
        </w:rPr>
        <w:t>6</w:t>
      </w:r>
      <w:r w:rsidR="00C238D5">
        <w:rPr>
          <w:rFonts w:ascii="仿宋" w:eastAsia="仿宋" w:hAnsi="仿宋" w:cs="仿宋" w:hint="eastAsia"/>
          <w:color w:val="000000"/>
          <w:sz w:val="24"/>
          <w:szCs w:val="24"/>
        </w:rPr>
        <w:t>0余项；发表论文</w:t>
      </w:r>
      <w:r w:rsidR="00EE019E">
        <w:rPr>
          <w:rFonts w:ascii="仿宋" w:eastAsia="仿宋" w:hAnsi="仿宋" w:cs="仿宋"/>
          <w:color w:val="000000"/>
          <w:sz w:val="24"/>
          <w:szCs w:val="24"/>
        </w:rPr>
        <w:t>150</w:t>
      </w:r>
      <w:r w:rsidR="00C238D5">
        <w:rPr>
          <w:rFonts w:ascii="仿宋" w:eastAsia="仿宋" w:hAnsi="仿宋" w:cs="仿宋" w:hint="eastAsia"/>
          <w:color w:val="000000"/>
          <w:sz w:val="24"/>
          <w:szCs w:val="24"/>
        </w:rPr>
        <w:t>余篇，授权发明专利（参与人）</w:t>
      </w:r>
      <w:r w:rsidR="002E0FCA">
        <w:rPr>
          <w:rFonts w:ascii="仿宋" w:eastAsia="仿宋" w:hAnsi="仿宋" w:cs="仿宋"/>
          <w:color w:val="000000"/>
          <w:sz w:val="24"/>
          <w:szCs w:val="24"/>
        </w:rPr>
        <w:t>1</w:t>
      </w:r>
      <w:r w:rsidR="00EE019E">
        <w:rPr>
          <w:rFonts w:ascii="仿宋" w:eastAsia="仿宋" w:hAnsi="仿宋" w:cs="仿宋"/>
          <w:color w:val="000000"/>
          <w:sz w:val="24"/>
          <w:szCs w:val="24"/>
        </w:rPr>
        <w:t>0</w:t>
      </w:r>
      <w:r w:rsidR="00C238D5">
        <w:rPr>
          <w:rFonts w:ascii="仿宋" w:eastAsia="仿宋" w:hAnsi="仿宋" w:cs="仿宋" w:hint="eastAsia"/>
          <w:color w:val="000000"/>
          <w:sz w:val="24"/>
          <w:szCs w:val="24"/>
        </w:rPr>
        <w:t>项。</w:t>
      </w:r>
    </w:p>
    <w:p w:rsidR="00DC5E49" w:rsidRDefault="00000000" w:rsidP="00C238D5">
      <w:pPr>
        <w:pStyle w:val="1"/>
        <w:adjustRightInd w:val="0"/>
        <w:snapToGrid w:val="0"/>
        <w:spacing w:line="420" w:lineRule="exact"/>
        <w:ind w:firstLine="489"/>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12.就业发展</w:t>
      </w:r>
    </w:p>
    <w:p w:rsidR="00DC5E49" w:rsidRPr="004A4BD1" w:rsidRDefault="004A4BD1" w:rsidP="004A4BD1">
      <w:pPr>
        <w:pStyle w:val="1"/>
        <w:adjustRightInd w:val="0"/>
        <w:snapToGrid w:val="0"/>
        <w:spacing w:line="420" w:lineRule="exact"/>
        <w:ind w:firstLine="480"/>
        <w:textAlignment w:val="center"/>
        <w:rPr>
          <w:rFonts w:ascii="仿宋" w:eastAsia="仿宋" w:hAnsi="仿宋" w:cs="仿宋"/>
          <w:color w:val="000000"/>
          <w:sz w:val="24"/>
          <w:szCs w:val="24"/>
        </w:rPr>
      </w:pPr>
      <w:bookmarkStart w:id="41" w:name="_Hlk127781668"/>
      <w:r>
        <w:rPr>
          <w:rFonts w:ascii="仿宋" w:eastAsia="仿宋" w:hAnsi="仿宋" w:cs="仿宋" w:hint="eastAsia"/>
          <w:sz w:val="24"/>
          <w:szCs w:val="24"/>
        </w:rPr>
        <w:t>2</w:t>
      </w:r>
      <w:r>
        <w:rPr>
          <w:rFonts w:ascii="仿宋" w:eastAsia="仿宋" w:hAnsi="仿宋" w:cs="仿宋"/>
          <w:sz w:val="24"/>
          <w:szCs w:val="24"/>
        </w:rPr>
        <w:t>023年，</w:t>
      </w:r>
      <w:r>
        <w:rPr>
          <w:rFonts w:ascii="仿宋" w:eastAsia="仿宋" w:hAnsi="仿宋" w:cs="仿宋" w:hint="eastAsia"/>
          <w:sz w:val="24"/>
          <w:szCs w:val="24"/>
        </w:rPr>
        <w:t>生物与医药</w:t>
      </w:r>
      <w:r>
        <w:rPr>
          <w:rFonts w:ascii="仿宋" w:eastAsia="仿宋" w:hAnsi="仿宋" w:cs="仿宋"/>
          <w:sz w:val="24"/>
          <w:szCs w:val="24"/>
        </w:rPr>
        <w:t>学科研究生毕业生就业率</w:t>
      </w:r>
      <w:r>
        <w:rPr>
          <w:rFonts w:ascii="仿宋" w:eastAsia="仿宋" w:hAnsi="仿宋" w:cs="仿宋" w:hint="eastAsia"/>
          <w:sz w:val="24"/>
          <w:szCs w:val="24"/>
        </w:rPr>
        <w:t>95</w:t>
      </w:r>
      <w:r>
        <w:rPr>
          <w:rFonts w:ascii="仿宋" w:eastAsia="仿宋" w:hAnsi="仿宋" w:cs="仿宋"/>
          <w:sz w:val="24"/>
          <w:szCs w:val="24"/>
        </w:rPr>
        <w:t>%，</w:t>
      </w:r>
      <w:bookmarkEnd w:id="41"/>
      <w:r>
        <w:rPr>
          <w:rFonts w:ascii="仿宋" w:eastAsia="仿宋" w:hAnsi="仿宋" w:cs="仿宋"/>
          <w:sz w:val="24"/>
          <w:szCs w:val="24"/>
        </w:rPr>
        <w:t>就业</w:t>
      </w:r>
      <w:r>
        <w:rPr>
          <w:rFonts w:ascii="仿宋" w:eastAsia="仿宋" w:hAnsi="仿宋" w:cs="仿宋" w:hint="eastAsia"/>
          <w:sz w:val="24"/>
          <w:szCs w:val="24"/>
        </w:rPr>
        <w:t>签约单位类型</w:t>
      </w:r>
      <w:r>
        <w:rPr>
          <w:rFonts w:ascii="仿宋" w:eastAsia="仿宋" w:hAnsi="仿宋" w:cs="仿宋"/>
          <w:sz w:val="24"/>
          <w:szCs w:val="24"/>
        </w:rPr>
        <w:t>主要包括升学</w:t>
      </w:r>
      <w:r>
        <w:rPr>
          <w:rFonts w:ascii="仿宋" w:eastAsia="仿宋" w:hAnsi="仿宋" w:cs="仿宋" w:hint="eastAsia"/>
          <w:color w:val="000000"/>
          <w:sz w:val="24"/>
          <w:szCs w:val="24"/>
        </w:rPr>
        <w:t>攻读博士学位</w:t>
      </w:r>
      <w:r>
        <w:rPr>
          <w:rFonts w:ascii="仿宋" w:eastAsia="仿宋" w:hAnsi="仿宋" w:cs="仿宋"/>
          <w:color w:val="000000"/>
          <w:sz w:val="24"/>
          <w:szCs w:val="24"/>
        </w:rPr>
        <w:t>、</w:t>
      </w:r>
      <w:r>
        <w:rPr>
          <w:rFonts w:ascii="仿宋" w:eastAsia="仿宋" w:hAnsi="仿宋" w:cs="仿宋" w:hint="eastAsia"/>
          <w:color w:val="000000"/>
          <w:sz w:val="24"/>
          <w:szCs w:val="24"/>
        </w:rPr>
        <w:t>酒企、</w:t>
      </w:r>
      <w:r>
        <w:rPr>
          <w:rFonts w:ascii="仿宋" w:eastAsia="仿宋" w:hAnsi="仿宋" w:cs="仿宋"/>
          <w:color w:val="000000"/>
          <w:sz w:val="24"/>
          <w:szCs w:val="24"/>
        </w:rPr>
        <w:t>事业单位从事设计研发等工作。本学科开展了毕业生</w:t>
      </w:r>
      <w:r>
        <w:rPr>
          <w:rFonts w:ascii="仿宋" w:eastAsia="仿宋" w:hAnsi="仿宋" w:cs="仿宋" w:hint="eastAsia"/>
          <w:color w:val="000000"/>
          <w:sz w:val="24"/>
          <w:szCs w:val="24"/>
        </w:rPr>
        <w:t>用人单位</w:t>
      </w:r>
      <w:r>
        <w:rPr>
          <w:rFonts w:ascii="仿宋" w:eastAsia="仿宋" w:hAnsi="仿宋" w:cs="仿宋"/>
          <w:color w:val="000000"/>
          <w:sz w:val="24"/>
          <w:szCs w:val="24"/>
        </w:rPr>
        <w:t>跟踪调查，用人单位反馈意见表明：用人单位普遍对本学科培养毕业研究生的工作表现满意，大多数毕业生已经成长为用人单位的技术骨干</w:t>
      </w:r>
      <w:r>
        <w:rPr>
          <w:rFonts w:ascii="仿宋" w:eastAsia="仿宋" w:hAnsi="仿宋" w:cs="仿宋" w:hint="eastAsia"/>
          <w:color w:val="000000"/>
          <w:sz w:val="24"/>
          <w:szCs w:val="24"/>
        </w:rPr>
        <w:t>或中层管理人员</w:t>
      </w:r>
      <w:r>
        <w:rPr>
          <w:rFonts w:ascii="仿宋" w:eastAsia="仿宋" w:hAnsi="仿宋" w:cs="仿宋"/>
          <w:color w:val="000000"/>
          <w:sz w:val="24"/>
          <w:szCs w:val="24"/>
        </w:rPr>
        <w:t>。</w:t>
      </w:r>
    </w:p>
    <w:p w:rsidR="00DC5E49"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四、服务贡献</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1.成果转化</w:t>
      </w:r>
    </w:p>
    <w:p w:rsidR="00531C02" w:rsidRDefault="00531C02" w:rsidP="00531C02">
      <w:pPr>
        <w:pStyle w:val="1"/>
        <w:adjustRightInd w:val="0"/>
        <w:snapToGrid w:val="0"/>
        <w:spacing w:line="420" w:lineRule="exact"/>
        <w:ind w:firstLine="480"/>
        <w:textAlignment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023</w:t>
      </w:r>
      <w:r>
        <w:rPr>
          <w:rFonts w:ascii="仿宋" w:eastAsia="仿宋" w:hAnsi="仿宋" w:cs="仿宋" w:hint="eastAsia"/>
          <w:sz w:val="24"/>
          <w:szCs w:val="24"/>
        </w:rPr>
        <w:t>年度</w:t>
      </w:r>
      <w:r w:rsidRPr="00C67B53">
        <w:rPr>
          <w:rFonts w:ascii="仿宋" w:eastAsia="仿宋" w:hAnsi="仿宋" w:cs="仿宋" w:hint="eastAsia"/>
          <w:sz w:val="24"/>
          <w:szCs w:val="24"/>
        </w:rPr>
        <w:t>，本学位点</w:t>
      </w:r>
      <w:r w:rsidRPr="00C67B53">
        <w:rPr>
          <w:rFonts w:ascii="仿宋" w:eastAsia="仿宋" w:hAnsi="仿宋" w:cs="仿宋"/>
          <w:sz w:val="24"/>
          <w:szCs w:val="24"/>
        </w:rPr>
        <w:t>2</w:t>
      </w:r>
      <w:r w:rsidRPr="00C67B53">
        <w:rPr>
          <w:rFonts w:ascii="仿宋" w:eastAsia="仿宋" w:hAnsi="仿宋" w:cs="仿宋" w:hint="eastAsia"/>
          <w:sz w:val="24"/>
          <w:szCs w:val="24"/>
        </w:rPr>
        <w:t>项科研项目实现了成果转化，在白酒酿造、食品加工行业取得了广泛的应用。</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2.服务经济和社会发展</w:t>
      </w:r>
      <w:r>
        <w:rPr>
          <w:rFonts w:ascii="仿宋" w:eastAsia="仿宋" w:hAnsi="仿宋" w:cs="仿宋" w:hint="eastAsia"/>
          <w:b/>
          <w:color w:val="FF0000"/>
          <w:kern w:val="0"/>
          <w:sz w:val="24"/>
          <w:szCs w:val="24"/>
        </w:rPr>
        <w:t xml:space="preserve"> </w:t>
      </w:r>
    </w:p>
    <w:p w:rsidR="00930868" w:rsidRDefault="00930868" w:rsidP="00930868">
      <w:pPr>
        <w:pStyle w:val="1"/>
        <w:adjustRightInd w:val="0"/>
        <w:snapToGrid w:val="0"/>
        <w:spacing w:line="420" w:lineRule="exact"/>
        <w:ind w:firstLine="480"/>
        <w:textAlignment w:val="center"/>
        <w:rPr>
          <w:rFonts w:ascii="仿宋" w:eastAsia="仿宋" w:hAnsi="仿宋" w:cs="仿宋"/>
          <w:color w:val="000000"/>
          <w:sz w:val="24"/>
          <w:szCs w:val="24"/>
        </w:rPr>
      </w:pPr>
      <w:bookmarkStart w:id="42" w:name="_Toc29501"/>
      <w:bookmarkStart w:id="43" w:name="_Toc25521233"/>
      <w:bookmarkStart w:id="44" w:name="_Toc25661855"/>
      <w:bookmarkStart w:id="45" w:name="_Toc6154"/>
      <w:bookmarkStart w:id="46" w:name="_Toc25680046"/>
      <w:bookmarkStart w:id="47" w:name="_Toc28200096"/>
      <w:bookmarkStart w:id="48" w:name="_Toc25521493"/>
      <w:bookmarkStart w:id="49" w:name="_Toc16175"/>
      <w:bookmarkStart w:id="50" w:name="_Toc25679717"/>
      <w:bookmarkStart w:id="51" w:name="_Toc25520530"/>
      <w:bookmarkStart w:id="52" w:name="_Toc27200"/>
      <w:bookmarkStart w:id="53" w:name="_Toc25520982"/>
      <w:r>
        <w:rPr>
          <w:rFonts w:ascii="仿宋" w:eastAsia="仿宋" w:hAnsi="仿宋" w:cs="仿宋"/>
          <w:color w:val="000000"/>
          <w:sz w:val="24"/>
          <w:szCs w:val="24"/>
        </w:rPr>
        <w:t>以地方经济</w:t>
      </w:r>
      <w:r>
        <w:rPr>
          <w:rFonts w:ascii="仿宋" w:eastAsia="仿宋" w:hAnsi="仿宋" w:cs="仿宋" w:hint="eastAsia"/>
          <w:color w:val="000000"/>
          <w:sz w:val="24"/>
          <w:szCs w:val="24"/>
        </w:rPr>
        <w:t>社会</w:t>
      </w:r>
      <w:r>
        <w:rPr>
          <w:rFonts w:ascii="仿宋" w:eastAsia="仿宋" w:hAnsi="仿宋" w:cs="仿宋"/>
          <w:color w:val="000000"/>
          <w:sz w:val="24"/>
          <w:szCs w:val="24"/>
        </w:rPr>
        <w:t>发展需求</w:t>
      </w:r>
      <w:r>
        <w:rPr>
          <w:rFonts w:ascii="仿宋" w:eastAsia="仿宋" w:hAnsi="仿宋" w:cs="仿宋" w:hint="eastAsia"/>
          <w:color w:val="000000"/>
          <w:sz w:val="24"/>
          <w:szCs w:val="24"/>
        </w:rPr>
        <w:t>为导向，以学科交叉融合促进学科发展为目标，</w:t>
      </w:r>
      <w:r w:rsidR="00937347">
        <w:rPr>
          <w:rFonts w:ascii="仿宋" w:eastAsia="仿宋" w:hAnsi="仿宋" w:cs="仿宋" w:hint="eastAsia"/>
          <w:color w:val="000000"/>
          <w:sz w:val="24"/>
          <w:szCs w:val="24"/>
        </w:rPr>
        <w:t>生物与医药学科类别</w:t>
      </w:r>
      <w:r>
        <w:rPr>
          <w:rFonts w:ascii="仿宋" w:eastAsia="仿宋" w:hAnsi="仿宋" w:cs="仿宋" w:hint="eastAsia"/>
          <w:color w:val="000000"/>
          <w:sz w:val="24"/>
          <w:szCs w:val="24"/>
        </w:rPr>
        <w:t>积极推动“从一颗种子到一滴美酒”的纵向全产业链布局，推动食品学科群横向延展，成为西南地区酿酒、食品加工企业</w:t>
      </w:r>
      <w:r w:rsidR="00937347">
        <w:rPr>
          <w:rFonts w:ascii="仿宋" w:eastAsia="仿宋" w:hAnsi="仿宋" w:cs="仿宋" w:hint="eastAsia"/>
          <w:color w:val="000000"/>
          <w:sz w:val="24"/>
          <w:szCs w:val="24"/>
        </w:rPr>
        <w:t>、制药工程</w:t>
      </w:r>
      <w:r w:rsidR="005E3DBD">
        <w:rPr>
          <w:rFonts w:ascii="仿宋" w:eastAsia="仿宋" w:hAnsi="仿宋" w:cs="仿宋" w:hint="eastAsia"/>
          <w:color w:val="000000"/>
          <w:sz w:val="24"/>
          <w:szCs w:val="24"/>
        </w:rPr>
        <w:t>等</w:t>
      </w:r>
      <w:r>
        <w:rPr>
          <w:rFonts w:ascii="仿宋" w:eastAsia="仿宋" w:hAnsi="仿宋" w:cs="仿宋" w:hint="eastAsia"/>
          <w:color w:val="000000"/>
          <w:sz w:val="24"/>
          <w:szCs w:val="24"/>
        </w:rPr>
        <w:t>重要的技术人才培养基地，</w:t>
      </w:r>
      <w:r>
        <w:rPr>
          <w:rFonts w:ascii="仿宋" w:eastAsia="仿宋" w:hAnsi="仿宋" w:cs="仿宋" w:hint="eastAsia"/>
          <w:sz w:val="24"/>
          <w:szCs w:val="24"/>
        </w:rPr>
        <w:t>紧密结合区域经济，服务地方经济。</w:t>
      </w:r>
      <w:r>
        <w:rPr>
          <w:rFonts w:ascii="仿宋" w:eastAsia="仿宋" w:hAnsi="仿宋" w:cs="仿宋" w:hint="eastAsia"/>
          <w:color w:val="000000"/>
          <w:sz w:val="24"/>
          <w:szCs w:val="24"/>
        </w:rPr>
        <w:t>立项国家级项目 1 项，立项省部级项目 1</w:t>
      </w:r>
      <w:r>
        <w:rPr>
          <w:rFonts w:ascii="仿宋" w:eastAsia="仿宋" w:hAnsi="仿宋" w:cs="仿宋"/>
          <w:color w:val="000000"/>
          <w:sz w:val="24"/>
          <w:szCs w:val="24"/>
        </w:rPr>
        <w:t>2</w:t>
      </w:r>
      <w:r>
        <w:rPr>
          <w:rFonts w:ascii="仿宋" w:eastAsia="仿宋" w:hAnsi="仿宋" w:cs="仿宋" w:hint="eastAsia"/>
          <w:color w:val="000000"/>
          <w:sz w:val="24"/>
          <w:szCs w:val="24"/>
        </w:rPr>
        <w:t>项，承担市厅级重点研究项目</w:t>
      </w:r>
      <w:r>
        <w:rPr>
          <w:rFonts w:ascii="仿宋" w:eastAsia="仿宋" w:hAnsi="仿宋" w:cs="仿宋"/>
          <w:color w:val="000000"/>
          <w:sz w:val="24"/>
          <w:szCs w:val="24"/>
        </w:rPr>
        <w:t>6</w:t>
      </w:r>
      <w:r>
        <w:rPr>
          <w:rFonts w:ascii="仿宋" w:eastAsia="仿宋" w:hAnsi="仿宋" w:cs="仿宋" w:hint="eastAsia"/>
          <w:color w:val="000000"/>
          <w:sz w:val="24"/>
          <w:szCs w:val="24"/>
        </w:rPr>
        <w:t>项，承担宜宾市五粮液集团、泸州老窖股份有限公司、丰谷酒业、水井坊等多家企业项目</w:t>
      </w:r>
      <w:r>
        <w:rPr>
          <w:rFonts w:ascii="仿宋" w:eastAsia="仿宋" w:hAnsi="仿宋" w:cs="仿宋"/>
          <w:color w:val="000000"/>
          <w:sz w:val="24"/>
          <w:szCs w:val="24"/>
        </w:rPr>
        <w:t>11</w:t>
      </w:r>
      <w:r>
        <w:rPr>
          <w:rFonts w:ascii="仿宋" w:eastAsia="仿宋" w:hAnsi="仿宋" w:cs="仿宋" w:hint="eastAsia"/>
          <w:color w:val="000000"/>
          <w:sz w:val="24"/>
          <w:szCs w:val="24"/>
        </w:rPr>
        <w:t>余项。</w:t>
      </w:r>
    </w:p>
    <w:p w:rsidR="00DC5E49" w:rsidRDefault="00000000">
      <w:pPr>
        <w:widowControl/>
        <w:spacing w:line="420" w:lineRule="exact"/>
        <w:ind w:firstLineChars="200" w:firstLine="489"/>
        <w:jc w:val="left"/>
        <w:rPr>
          <w:rFonts w:ascii="仿宋" w:eastAsia="仿宋" w:hAnsi="仿宋" w:cs="仿宋"/>
          <w:b/>
          <w:color w:val="000000"/>
          <w:kern w:val="0"/>
          <w:sz w:val="24"/>
          <w:szCs w:val="24"/>
        </w:rPr>
      </w:pPr>
      <w:r>
        <w:rPr>
          <w:rFonts w:ascii="仿宋" w:eastAsia="仿宋" w:hAnsi="仿宋" w:cs="仿宋" w:hint="eastAsia"/>
          <w:b/>
          <w:color w:val="000000"/>
          <w:kern w:val="0"/>
          <w:sz w:val="24"/>
          <w:szCs w:val="24"/>
        </w:rPr>
        <w:t>3.产教协同育人</w:t>
      </w:r>
      <w:bookmarkEnd w:id="42"/>
      <w:bookmarkEnd w:id="43"/>
      <w:bookmarkEnd w:id="44"/>
      <w:bookmarkEnd w:id="45"/>
      <w:bookmarkEnd w:id="46"/>
      <w:bookmarkEnd w:id="47"/>
      <w:bookmarkEnd w:id="48"/>
      <w:bookmarkEnd w:id="49"/>
      <w:bookmarkEnd w:id="50"/>
      <w:bookmarkEnd w:id="51"/>
      <w:bookmarkEnd w:id="52"/>
      <w:bookmarkEnd w:id="53"/>
    </w:p>
    <w:p w:rsidR="00DE7EB4" w:rsidRDefault="00DE7EB4">
      <w:pPr>
        <w:pStyle w:val="1"/>
        <w:adjustRightInd w:val="0"/>
        <w:snapToGrid w:val="0"/>
        <w:spacing w:line="420" w:lineRule="exact"/>
        <w:ind w:firstLine="480"/>
        <w:textAlignment w:val="center"/>
        <w:rPr>
          <w:rFonts w:ascii="仿宋" w:eastAsia="仿宋" w:hAnsi="仿宋" w:cs="仿宋"/>
          <w:color w:val="000000"/>
          <w:sz w:val="24"/>
          <w:szCs w:val="24"/>
        </w:rPr>
      </w:pPr>
      <w:bookmarkStart w:id="54" w:name="_Toc67060135"/>
      <w:bookmarkStart w:id="55" w:name="_Toc64984023"/>
      <w:bookmarkStart w:id="56" w:name="_Toc6209"/>
      <w:bookmarkStart w:id="57" w:name="_Toc9438"/>
      <w:r w:rsidRPr="00DE7EB4">
        <w:rPr>
          <w:rFonts w:ascii="仿宋" w:eastAsia="仿宋" w:hAnsi="仿宋" w:cs="仿宋" w:hint="eastAsia"/>
          <w:color w:val="000000"/>
          <w:sz w:val="24"/>
          <w:szCs w:val="24"/>
        </w:rPr>
        <w:t>与五粮液集团有限公司、泸州老窖股份有限公司等28家单位共建教学团队和导师团队开展联合培养，设置了政治、工程伦理、专业实践等9门课程;健全人才培养，奖助学金等体系，设立“五粮液奖学金”“泸州老窖创 新基金”等基金，搭建“教学-科研-转化-实践”四位一体的协同育人模式。“科教融合培养产业创新人才”获批国家发改委、科技部2021年全面创新改革任务。获四川省教学成果奖2项。</w:t>
      </w:r>
    </w:p>
    <w:p w:rsidR="00DC5E49" w:rsidRDefault="00000000">
      <w:pPr>
        <w:pStyle w:val="1"/>
        <w:adjustRightInd w:val="0"/>
        <w:snapToGrid w:val="0"/>
        <w:spacing w:line="420" w:lineRule="exact"/>
        <w:ind w:firstLine="489"/>
        <w:textAlignment w:val="center"/>
        <w:rPr>
          <w:rFonts w:ascii="仿宋" w:eastAsia="仿宋" w:hAnsi="仿宋" w:cs="仿宋"/>
          <w:b/>
          <w:color w:val="000000"/>
          <w:kern w:val="0"/>
          <w:sz w:val="24"/>
          <w:szCs w:val="24"/>
        </w:rPr>
      </w:pPr>
      <w:r>
        <w:rPr>
          <w:rFonts w:ascii="仿宋" w:eastAsia="仿宋" w:hAnsi="仿宋" w:cs="仿宋" w:hint="eastAsia"/>
          <w:b/>
          <w:color w:val="000000"/>
          <w:kern w:val="0"/>
          <w:sz w:val="24"/>
          <w:szCs w:val="24"/>
        </w:rPr>
        <w:lastRenderedPageBreak/>
        <w:t>4.承担国内外重大设计与展演任务</w:t>
      </w:r>
      <w:bookmarkEnd w:id="54"/>
      <w:bookmarkEnd w:id="55"/>
      <w:bookmarkEnd w:id="56"/>
      <w:bookmarkEnd w:id="57"/>
    </w:p>
    <w:p w:rsidR="00DC5E49" w:rsidRDefault="00D34D25">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本学位点参与</w:t>
      </w:r>
      <w:r w:rsidRPr="00D34D25">
        <w:rPr>
          <w:rFonts w:ascii="仿宋" w:eastAsia="仿宋" w:hAnsi="仿宋" w:cs="仿宋" w:hint="eastAsia"/>
          <w:color w:val="000000"/>
          <w:sz w:val="24"/>
          <w:szCs w:val="24"/>
        </w:rPr>
        <w:t>主办的第十七届中国蛋品科技大会暨2023（第六届）国际蛋品科技研讨会</w:t>
      </w:r>
      <w:r w:rsidR="00B37887">
        <w:rPr>
          <w:rFonts w:ascii="仿宋" w:eastAsia="仿宋" w:hAnsi="仿宋" w:cs="仿宋" w:hint="eastAsia"/>
          <w:color w:val="000000"/>
          <w:sz w:val="24"/>
          <w:szCs w:val="24"/>
        </w:rPr>
        <w:t>，</w:t>
      </w:r>
      <w:r w:rsidR="00B37887" w:rsidRPr="00B37887">
        <w:rPr>
          <w:rFonts w:ascii="仿宋" w:eastAsia="仿宋" w:hAnsi="仿宋" w:cs="仿宋" w:hint="eastAsia"/>
          <w:color w:val="000000"/>
          <w:sz w:val="24"/>
          <w:szCs w:val="24"/>
        </w:rPr>
        <w:t>于2023年10月25－27日在四川成都举行。会议以禽蛋相关领域的知名专家、学者作专题报告以及专家对话企业形式开展，共同交流分享最新学术成果，共讨学术发展问题，为禽蛋产业创新发展献计献策，助力产业创新，加快科技与经济融合发展。</w:t>
      </w:r>
    </w:p>
    <w:p w:rsidR="00673737" w:rsidRDefault="00000000">
      <w:pPr>
        <w:widowControl/>
        <w:spacing w:line="420" w:lineRule="exact"/>
        <w:jc w:val="left"/>
        <w:rPr>
          <w:rFonts w:ascii="黑体" w:eastAsia="黑体" w:hAnsi="黑体" w:cs="黑体"/>
          <w:color w:val="FF0000"/>
          <w:kern w:val="0"/>
          <w:sz w:val="28"/>
          <w:szCs w:val="28"/>
        </w:rPr>
      </w:pPr>
      <w:r>
        <w:rPr>
          <w:rFonts w:ascii="黑体" w:eastAsia="黑体" w:hAnsi="黑体" w:cs="黑体" w:hint="eastAsia"/>
          <w:color w:val="000000"/>
          <w:kern w:val="0"/>
          <w:sz w:val="28"/>
          <w:szCs w:val="28"/>
        </w:rPr>
        <w:t>五、存在的问题</w:t>
      </w:r>
      <w:r>
        <w:rPr>
          <w:rFonts w:ascii="黑体" w:eastAsia="黑体" w:hAnsi="黑体" w:cs="黑体" w:hint="eastAsia"/>
          <w:color w:val="FF0000"/>
          <w:kern w:val="0"/>
          <w:sz w:val="28"/>
          <w:szCs w:val="28"/>
        </w:rPr>
        <w:t>（诊断）</w:t>
      </w:r>
    </w:p>
    <w:p w:rsidR="00D446FD" w:rsidRDefault="00000000" w:rsidP="00D446FD">
      <w:pPr>
        <w:widowControl/>
        <w:spacing w:line="420" w:lineRule="exact"/>
        <w:ind w:firstLineChars="200" w:firstLine="560"/>
        <w:jc w:val="left"/>
        <w:rPr>
          <w:rFonts w:ascii="仿宋" w:eastAsia="仿宋" w:hAnsi="仿宋" w:cs="仿宋"/>
          <w:b/>
          <w:bCs/>
          <w:color w:val="000000"/>
          <w:sz w:val="24"/>
          <w:szCs w:val="24"/>
        </w:rPr>
      </w:pPr>
      <w:r>
        <w:rPr>
          <w:rFonts w:ascii="黑体" w:eastAsia="黑体" w:hAnsi="黑体" w:cs="黑体" w:hint="eastAsia"/>
          <w:color w:val="000000"/>
          <w:kern w:val="0"/>
          <w:sz w:val="28"/>
          <w:szCs w:val="28"/>
        </w:rPr>
        <w:t xml:space="preserve"> </w:t>
      </w:r>
      <w:r w:rsidR="00D446FD">
        <w:rPr>
          <w:rFonts w:ascii="仿宋" w:eastAsia="仿宋" w:hAnsi="仿宋" w:cs="仿宋" w:hint="eastAsia"/>
          <w:b/>
          <w:bCs/>
          <w:color w:val="000000"/>
          <w:sz w:val="24"/>
          <w:szCs w:val="24"/>
        </w:rPr>
        <w:t>1．师资与学生情况</w:t>
      </w:r>
    </w:p>
    <w:p w:rsidR="00D446FD" w:rsidRDefault="00D446FD" w:rsidP="00D446FD">
      <w:pPr>
        <w:widowControl/>
        <w:spacing w:line="420" w:lineRule="exact"/>
        <w:ind w:firstLineChars="200" w:firstLine="489"/>
        <w:jc w:val="left"/>
        <w:rPr>
          <w:rFonts w:ascii="仿宋" w:eastAsia="仿宋" w:hAnsi="仿宋" w:cs="仿宋"/>
          <w:b/>
          <w:bCs/>
          <w:color w:val="000000"/>
          <w:sz w:val="24"/>
          <w:szCs w:val="24"/>
        </w:rPr>
      </w:pPr>
      <w:r>
        <w:rPr>
          <w:rFonts w:ascii="仿宋" w:eastAsia="仿宋" w:hAnsi="仿宋" w:cs="仿宋" w:hint="eastAsia"/>
          <w:b/>
          <w:bCs/>
          <w:color w:val="000000"/>
          <w:sz w:val="24"/>
          <w:szCs w:val="24"/>
        </w:rPr>
        <w:t>（1）缺少领域领军人才与骨干教师，人才梯队建设需加强</w:t>
      </w:r>
    </w:p>
    <w:p w:rsidR="00D446FD" w:rsidRDefault="00D446FD" w:rsidP="00D446FD">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目前本领域领军人才培养收到一定成效，晋升2名博导，获得多项省级奖项。但校内拟定培养的领军人才成果不足，缺乏博导身份；部分学术骨干教师现有成果略显薄弱，职称不够、无省级学术头衔，需要通过内部培养，帮助梳理不足，弥补改进，同时增加外引人才，加强师资队伍建设。其次，由于新进教师多，亟需优化“老带新”制度，加大青年后备人才的培养力度。同时针对新教师普遍缺乏工程背景这一问题，出台相应措施办法，补足短板。</w:t>
      </w:r>
    </w:p>
    <w:p w:rsidR="00D446FD" w:rsidRDefault="00D446FD" w:rsidP="00D446FD">
      <w:pPr>
        <w:widowControl/>
        <w:spacing w:line="420" w:lineRule="exact"/>
        <w:ind w:firstLineChars="200" w:firstLine="489"/>
        <w:jc w:val="left"/>
        <w:rPr>
          <w:rFonts w:ascii="仿宋" w:eastAsia="仿宋" w:hAnsi="仿宋" w:cs="仿宋"/>
          <w:b/>
          <w:bCs/>
          <w:color w:val="000000"/>
          <w:sz w:val="24"/>
          <w:szCs w:val="24"/>
        </w:rPr>
      </w:pPr>
      <w:r>
        <w:rPr>
          <w:rFonts w:ascii="仿宋" w:eastAsia="仿宋" w:hAnsi="仿宋" w:cs="仿宋" w:hint="eastAsia"/>
          <w:b/>
          <w:bCs/>
          <w:color w:val="000000"/>
          <w:sz w:val="24"/>
          <w:szCs w:val="24"/>
        </w:rPr>
        <w:t>（2）招生质量需要进一步提高</w:t>
      </w:r>
    </w:p>
    <w:p w:rsidR="00D446FD" w:rsidRDefault="00D446FD" w:rsidP="00D446FD">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学校地处川南，生源主要集中在川南高校，研究生招生中存在报考多、上线少、基础低等问题，且生源专业背景复杂，为后期培养带来了困难。需要加大宣传，吸收更多优质生源，同时提高本校学生考取率。</w:t>
      </w:r>
    </w:p>
    <w:p w:rsidR="00D446FD" w:rsidRDefault="00D446FD" w:rsidP="00D446FD">
      <w:pPr>
        <w:widowControl/>
        <w:spacing w:line="420" w:lineRule="exact"/>
        <w:ind w:firstLineChars="200" w:firstLine="489"/>
        <w:jc w:val="left"/>
        <w:rPr>
          <w:rFonts w:ascii="仿宋" w:eastAsia="仿宋" w:hAnsi="仿宋" w:cs="仿宋"/>
          <w:b/>
          <w:bCs/>
          <w:color w:val="000000"/>
          <w:sz w:val="24"/>
          <w:szCs w:val="24"/>
        </w:rPr>
      </w:pPr>
      <w:r>
        <w:rPr>
          <w:rFonts w:ascii="仿宋" w:eastAsia="仿宋" w:hAnsi="仿宋" w:cs="仿宋"/>
          <w:b/>
          <w:bCs/>
          <w:color w:val="000000"/>
          <w:sz w:val="24"/>
          <w:szCs w:val="24"/>
        </w:rPr>
        <w:t>2</w:t>
      </w:r>
      <w:r>
        <w:rPr>
          <w:rFonts w:ascii="仿宋" w:eastAsia="仿宋" w:hAnsi="仿宋" w:cs="仿宋" w:hint="eastAsia"/>
          <w:b/>
          <w:bCs/>
          <w:color w:val="000000"/>
          <w:sz w:val="24"/>
          <w:szCs w:val="24"/>
        </w:rPr>
        <w:t>．科研成果质量需要提高</w:t>
      </w:r>
    </w:p>
    <w:p w:rsidR="00D446FD" w:rsidRDefault="00D446FD" w:rsidP="00D446FD">
      <w:pPr>
        <w:widowControl/>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由于目前师资结构与研究生招生质量存在不足，缺少国家级平台和国家级工程项目，导致高质量论文数量不多，把论文写在祖国的大地上的能力还有待进一步提高，科研成果数量和质量需要进一步加强。</w:t>
      </w:r>
    </w:p>
    <w:p w:rsidR="00D446FD" w:rsidRDefault="00D446FD" w:rsidP="00D446FD">
      <w:pPr>
        <w:widowControl/>
        <w:spacing w:line="420" w:lineRule="exact"/>
        <w:ind w:firstLineChars="200" w:firstLine="489"/>
        <w:jc w:val="left"/>
        <w:rPr>
          <w:rFonts w:ascii="仿宋" w:eastAsia="仿宋" w:hAnsi="仿宋" w:cs="仿宋"/>
          <w:b/>
          <w:bCs/>
          <w:color w:val="000000"/>
          <w:sz w:val="24"/>
          <w:szCs w:val="24"/>
        </w:rPr>
      </w:pPr>
      <w:r>
        <w:rPr>
          <w:rFonts w:ascii="仿宋" w:eastAsia="仿宋" w:hAnsi="仿宋" w:cs="仿宋"/>
          <w:b/>
          <w:bCs/>
          <w:color w:val="000000"/>
          <w:sz w:val="24"/>
          <w:szCs w:val="24"/>
        </w:rPr>
        <w:t>3</w:t>
      </w:r>
      <w:r>
        <w:rPr>
          <w:rFonts w:ascii="仿宋" w:eastAsia="仿宋" w:hAnsi="仿宋" w:cs="仿宋" w:hint="eastAsia"/>
          <w:b/>
          <w:bCs/>
          <w:color w:val="000000"/>
          <w:sz w:val="24"/>
          <w:szCs w:val="24"/>
        </w:rPr>
        <w:t>．成果转化能力仍需提升</w:t>
      </w:r>
    </w:p>
    <w:p w:rsidR="00DC5E49" w:rsidRPr="00ED5B48" w:rsidRDefault="00D446FD" w:rsidP="00ED5B48">
      <w:pPr>
        <w:widowControl/>
        <w:spacing w:line="42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szCs w:val="24"/>
        </w:rPr>
        <w:t>虽然有一定数量的成果转化，但是目前成果转化能力仍然需要进一步提升。</w:t>
      </w:r>
    </w:p>
    <w:p w:rsidR="00DC5E49" w:rsidRDefault="00000000">
      <w:pPr>
        <w:widowControl/>
        <w:spacing w:line="420" w:lineRule="exact"/>
        <w:jc w:val="left"/>
        <w:rPr>
          <w:rFonts w:ascii="黑体" w:eastAsia="黑体" w:hAnsi="黑体" w:cs="黑体"/>
          <w:color w:val="000000"/>
          <w:kern w:val="0"/>
          <w:sz w:val="28"/>
          <w:szCs w:val="28"/>
        </w:rPr>
      </w:pPr>
      <w:r>
        <w:rPr>
          <w:rFonts w:ascii="黑体" w:eastAsia="黑体" w:hAnsi="黑体" w:cs="黑体" w:hint="eastAsia"/>
          <w:color w:val="000000"/>
          <w:kern w:val="0"/>
          <w:sz w:val="28"/>
          <w:szCs w:val="28"/>
        </w:rPr>
        <w:t xml:space="preserve">六、下一年建设计划 </w:t>
      </w:r>
    </w:p>
    <w:p w:rsidR="00246C00" w:rsidRDefault="00246C00" w:rsidP="00246C00">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1．改善师资结构，提高生源质量</w:t>
      </w:r>
    </w:p>
    <w:p w:rsidR="00246C00" w:rsidRDefault="00246C00" w:rsidP="00246C00">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（1）内培外引，塑造团队师资</w:t>
      </w:r>
    </w:p>
    <w:p w:rsidR="00246C00" w:rsidRDefault="00246C00" w:rsidP="00246C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内引外培并举，用活学校人才政策，新增</w:t>
      </w:r>
      <w:r>
        <w:rPr>
          <w:rFonts w:ascii="仿宋" w:eastAsia="仿宋" w:hAnsi="仿宋" w:cs="仿宋"/>
          <w:color w:val="000000"/>
          <w:sz w:val="24"/>
          <w:szCs w:val="24"/>
        </w:rPr>
        <w:t>5</w:t>
      </w:r>
      <w:r>
        <w:rPr>
          <w:rFonts w:ascii="仿宋" w:eastAsia="仿宋" w:hAnsi="仿宋" w:cs="仿宋" w:hint="eastAsia"/>
          <w:color w:val="000000"/>
          <w:sz w:val="24"/>
          <w:szCs w:val="24"/>
        </w:rPr>
        <w:t>名左右校内导师；放权专业带头人，加大政策倾斜，培养学院头雁人才；优化“老带新”制度，加大青年后备人才的培养力度，形成合理的人才梯队。专业类别领导小组任命各专业领域带头人，并拟定了1</w:t>
      </w:r>
      <w:r>
        <w:rPr>
          <w:rFonts w:ascii="仿宋" w:eastAsia="仿宋" w:hAnsi="仿宋" w:cs="仿宋"/>
          <w:color w:val="000000"/>
          <w:sz w:val="24"/>
          <w:szCs w:val="24"/>
        </w:rPr>
        <w:t>5</w:t>
      </w:r>
      <w:r>
        <w:rPr>
          <w:rFonts w:ascii="仿宋" w:eastAsia="仿宋" w:hAnsi="仿宋" w:cs="仿宋" w:hint="eastAsia"/>
          <w:color w:val="000000"/>
          <w:sz w:val="24"/>
          <w:szCs w:val="24"/>
        </w:rPr>
        <w:t>位左右成员作为学术骨干培养，用学术骨干的标准筛查了拟定人员的不足，针对每位候选人制定了培养计划。</w:t>
      </w:r>
    </w:p>
    <w:p w:rsidR="00246C00" w:rsidRDefault="00246C00" w:rsidP="00246C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青年教师中具有实践经验的比例较低，为专业类别未来发展，应鼓励、要求、组织青年教师，考取职业资格证书，到行业企事业单位挂职锻炼，加强与企业合作承担工程技术类课题。</w:t>
      </w:r>
    </w:p>
    <w:p w:rsidR="00246C00" w:rsidRDefault="00246C00" w:rsidP="00246C00">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hint="eastAsia"/>
          <w:b/>
          <w:bCs/>
          <w:color w:val="000000"/>
          <w:sz w:val="24"/>
          <w:szCs w:val="24"/>
        </w:rPr>
        <w:t>（2）加强招生宣传，提高生源质量</w:t>
      </w:r>
    </w:p>
    <w:p w:rsidR="00246C00" w:rsidRDefault="00246C00" w:rsidP="00246C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鼓励优秀教师到其他高校进行学术讲座与交流，扩大本领域的外部影响力；制作高质量的视频及纸质宣传资料，系统介绍本领域的办学条件、师资队伍、就业形势、发展前景，通过多种渠道长效性的开展宣传工作；重视部分重点学校的考研学生引导，稳定生源数量，加大对双一流学校考生的奖励力度，获得优质生源；出台相应政策鼓励学生参加国际国内的学术活动。</w:t>
      </w:r>
    </w:p>
    <w:p w:rsidR="00246C00" w:rsidRDefault="00246C00" w:rsidP="00246C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通过多渠道鼓励本校相关专业学生报考该专业类别研究生，继续提高本校相关专业报考率。</w:t>
      </w:r>
    </w:p>
    <w:p w:rsidR="00246C00" w:rsidRDefault="00246C00" w:rsidP="00246C00">
      <w:pPr>
        <w:pStyle w:val="1"/>
        <w:adjustRightInd w:val="0"/>
        <w:snapToGrid w:val="0"/>
        <w:spacing w:line="420" w:lineRule="exact"/>
        <w:ind w:firstLine="489"/>
        <w:textAlignment w:val="center"/>
        <w:rPr>
          <w:rFonts w:ascii="仿宋" w:eastAsia="仿宋" w:hAnsi="仿宋" w:cs="仿宋"/>
          <w:b/>
          <w:bCs/>
          <w:color w:val="000000"/>
          <w:sz w:val="24"/>
          <w:szCs w:val="24"/>
        </w:rPr>
      </w:pPr>
      <w:bookmarkStart w:id="58" w:name="_Hlk150708819"/>
      <w:r>
        <w:rPr>
          <w:rFonts w:ascii="仿宋" w:eastAsia="仿宋" w:hAnsi="仿宋" w:cs="仿宋"/>
          <w:b/>
          <w:bCs/>
          <w:color w:val="000000"/>
          <w:sz w:val="24"/>
          <w:szCs w:val="24"/>
        </w:rPr>
        <w:t>2</w:t>
      </w:r>
      <w:r>
        <w:rPr>
          <w:rFonts w:ascii="仿宋" w:eastAsia="仿宋" w:hAnsi="仿宋" w:cs="仿宋" w:hint="eastAsia"/>
          <w:b/>
          <w:bCs/>
          <w:color w:val="000000"/>
          <w:sz w:val="24"/>
          <w:szCs w:val="24"/>
        </w:rPr>
        <w:t>．凝练科研方向，打造代表性科研成果</w:t>
      </w:r>
    </w:p>
    <w:p w:rsidR="00246C00" w:rsidRDefault="00246C00" w:rsidP="00246C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凝练团队特色，紧</w:t>
      </w:r>
      <w:bookmarkEnd w:id="58"/>
      <w:r>
        <w:rPr>
          <w:rFonts w:ascii="仿宋" w:eastAsia="仿宋" w:hAnsi="仿宋" w:cs="仿宋" w:hint="eastAsia"/>
          <w:color w:val="000000"/>
          <w:sz w:val="24"/>
          <w:szCs w:val="24"/>
        </w:rPr>
        <w:t>跟科技前沿与行业发展需求，以专业方向为特色，久久为功，打造高质量论文和成果。通过团队、平台建设，依托国家级重大项目努力推动实现国家级科技进步奖和国家级教学成果奖突破。</w:t>
      </w:r>
    </w:p>
    <w:p w:rsidR="00246C00" w:rsidRDefault="00246C00" w:rsidP="00246C00">
      <w:pPr>
        <w:pStyle w:val="1"/>
        <w:adjustRightInd w:val="0"/>
        <w:snapToGrid w:val="0"/>
        <w:spacing w:line="420" w:lineRule="exact"/>
        <w:ind w:firstLine="489"/>
        <w:textAlignment w:val="center"/>
        <w:rPr>
          <w:rFonts w:ascii="仿宋" w:eastAsia="仿宋" w:hAnsi="仿宋" w:cs="仿宋"/>
          <w:b/>
          <w:bCs/>
          <w:color w:val="000000"/>
          <w:sz w:val="24"/>
          <w:szCs w:val="24"/>
        </w:rPr>
      </w:pPr>
      <w:r>
        <w:rPr>
          <w:rFonts w:ascii="仿宋" w:eastAsia="仿宋" w:hAnsi="仿宋" w:cs="仿宋"/>
          <w:b/>
          <w:bCs/>
          <w:color w:val="000000"/>
          <w:sz w:val="24"/>
          <w:szCs w:val="24"/>
        </w:rPr>
        <w:t>3</w:t>
      </w:r>
      <w:r>
        <w:rPr>
          <w:rFonts w:ascii="仿宋" w:eastAsia="仿宋" w:hAnsi="仿宋" w:cs="仿宋" w:hint="eastAsia"/>
          <w:b/>
          <w:bCs/>
          <w:color w:val="000000"/>
          <w:sz w:val="24"/>
          <w:szCs w:val="24"/>
        </w:rPr>
        <w:t>．加大成果宣传，鼓励成果转化</w:t>
      </w:r>
    </w:p>
    <w:p w:rsidR="00246C00" w:rsidRDefault="00246C00" w:rsidP="00246C00">
      <w:pPr>
        <w:pStyle w:val="1"/>
        <w:adjustRightInd w:val="0"/>
        <w:snapToGrid w:val="0"/>
        <w:spacing w:line="420" w:lineRule="exact"/>
        <w:ind w:firstLine="480"/>
        <w:textAlignment w:val="center"/>
        <w:rPr>
          <w:rFonts w:ascii="仿宋" w:eastAsia="仿宋" w:hAnsi="仿宋" w:cs="仿宋"/>
          <w:color w:val="000000"/>
          <w:sz w:val="24"/>
          <w:szCs w:val="24"/>
        </w:rPr>
      </w:pPr>
      <w:r>
        <w:rPr>
          <w:rFonts w:ascii="仿宋" w:eastAsia="仿宋" w:hAnsi="仿宋" w:cs="仿宋" w:hint="eastAsia"/>
          <w:color w:val="000000"/>
          <w:sz w:val="24"/>
          <w:szCs w:val="24"/>
        </w:rPr>
        <w:t>加大对科技成果转化宣传力度，扩宽成果转化的面，重点加强对有科技成果转化需要的人员进行专门指导。通过制定科技成果转化激励办法鼓励科技成果转化，同时鼓励并帮助对社会科技进步有明显促进作用的研究成果落地。目前学校和学院均已制定并实施了鼓励科技成果转化的具体办法。</w:t>
      </w:r>
    </w:p>
    <w:p w:rsidR="00DC5E49" w:rsidRPr="00246C00" w:rsidRDefault="00DC5E49">
      <w:pPr>
        <w:pStyle w:val="1"/>
        <w:adjustRightInd w:val="0"/>
        <w:snapToGrid w:val="0"/>
        <w:spacing w:line="420" w:lineRule="exact"/>
        <w:ind w:firstLine="489"/>
        <w:textAlignment w:val="center"/>
        <w:rPr>
          <w:rFonts w:ascii="仿宋" w:eastAsia="仿宋" w:hAnsi="仿宋" w:cs="仿宋"/>
          <w:b/>
          <w:color w:val="FF0000"/>
          <w:kern w:val="0"/>
          <w:sz w:val="24"/>
          <w:szCs w:val="24"/>
        </w:rPr>
      </w:pPr>
    </w:p>
    <w:sectPr w:rsidR="00DC5E49" w:rsidRPr="00246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楷体_GB2312">
    <w:altName w:val="宋体"/>
    <w:panose1 w:val="020B0604020202020204"/>
    <w:charset w:val="86"/>
    <w:family w:val="modern"/>
    <w:pitch w:val="default"/>
    <w:sig w:usb0="00000001" w:usb1="080E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zM2RmZGE0NDMxM2ZkZTBlMzVjZTFjNjk2OWE1NzkifQ=="/>
  </w:docVars>
  <w:rsids>
    <w:rsidRoot w:val="00611AE0"/>
    <w:rsid w:val="000005CB"/>
    <w:rsid w:val="000047F2"/>
    <w:rsid w:val="000565B3"/>
    <w:rsid w:val="00066918"/>
    <w:rsid w:val="000B2698"/>
    <w:rsid w:val="000F2C57"/>
    <w:rsid w:val="000F73D1"/>
    <w:rsid w:val="00107795"/>
    <w:rsid w:val="00120F47"/>
    <w:rsid w:val="001315A2"/>
    <w:rsid w:val="0013203C"/>
    <w:rsid w:val="0015118E"/>
    <w:rsid w:val="001679E0"/>
    <w:rsid w:val="001D0D3B"/>
    <w:rsid w:val="001D1145"/>
    <w:rsid w:val="001D21D9"/>
    <w:rsid w:val="001D2AFB"/>
    <w:rsid w:val="001D3357"/>
    <w:rsid w:val="00221AB3"/>
    <w:rsid w:val="00224EFD"/>
    <w:rsid w:val="00246C00"/>
    <w:rsid w:val="00247192"/>
    <w:rsid w:val="00252A7D"/>
    <w:rsid w:val="00271390"/>
    <w:rsid w:val="002901CF"/>
    <w:rsid w:val="00292229"/>
    <w:rsid w:val="002A32D9"/>
    <w:rsid w:val="002B5771"/>
    <w:rsid w:val="002D6CBC"/>
    <w:rsid w:val="002E0FCA"/>
    <w:rsid w:val="002E5782"/>
    <w:rsid w:val="002F271E"/>
    <w:rsid w:val="002F4740"/>
    <w:rsid w:val="002F4A9E"/>
    <w:rsid w:val="002F6843"/>
    <w:rsid w:val="00355A3B"/>
    <w:rsid w:val="00363D3E"/>
    <w:rsid w:val="00373485"/>
    <w:rsid w:val="003A4E01"/>
    <w:rsid w:val="003B37AC"/>
    <w:rsid w:val="00444976"/>
    <w:rsid w:val="0047043E"/>
    <w:rsid w:val="00470F15"/>
    <w:rsid w:val="004774B4"/>
    <w:rsid w:val="004866C2"/>
    <w:rsid w:val="00490393"/>
    <w:rsid w:val="0049715B"/>
    <w:rsid w:val="004A4BD1"/>
    <w:rsid w:val="004A6DC7"/>
    <w:rsid w:val="004C2127"/>
    <w:rsid w:val="004C5C84"/>
    <w:rsid w:val="004E54BF"/>
    <w:rsid w:val="00502711"/>
    <w:rsid w:val="00531C02"/>
    <w:rsid w:val="00532206"/>
    <w:rsid w:val="00537591"/>
    <w:rsid w:val="00546BE2"/>
    <w:rsid w:val="0056427B"/>
    <w:rsid w:val="005D11C5"/>
    <w:rsid w:val="005E0C70"/>
    <w:rsid w:val="005E3DBD"/>
    <w:rsid w:val="00604216"/>
    <w:rsid w:val="00611AE0"/>
    <w:rsid w:val="0065296A"/>
    <w:rsid w:val="00656CD0"/>
    <w:rsid w:val="006617DC"/>
    <w:rsid w:val="00667968"/>
    <w:rsid w:val="00673737"/>
    <w:rsid w:val="00681975"/>
    <w:rsid w:val="006C1039"/>
    <w:rsid w:val="006C5C00"/>
    <w:rsid w:val="006D3BFD"/>
    <w:rsid w:val="006F5F17"/>
    <w:rsid w:val="007036A4"/>
    <w:rsid w:val="00720C2C"/>
    <w:rsid w:val="007606CC"/>
    <w:rsid w:val="007A39BA"/>
    <w:rsid w:val="007B6379"/>
    <w:rsid w:val="007C05FB"/>
    <w:rsid w:val="007C7DF6"/>
    <w:rsid w:val="007C7FDA"/>
    <w:rsid w:val="007D2F67"/>
    <w:rsid w:val="008141A4"/>
    <w:rsid w:val="00814427"/>
    <w:rsid w:val="008201EC"/>
    <w:rsid w:val="00822B1F"/>
    <w:rsid w:val="00823EBE"/>
    <w:rsid w:val="0084181F"/>
    <w:rsid w:val="00862866"/>
    <w:rsid w:val="00863878"/>
    <w:rsid w:val="00866362"/>
    <w:rsid w:val="00875990"/>
    <w:rsid w:val="00880036"/>
    <w:rsid w:val="00891857"/>
    <w:rsid w:val="0089452C"/>
    <w:rsid w:val="00894E1D"/>
    <w:rsid w:val="008B0FD2"/>
    <w:rsid w:val="00922B22"/>
    <w:rsid w:val="00925A6C"/>
    <w:rsid w:val="00930868"/>
    <w:rsid w:val="00937347"/>
    <w:rsid w:val="00945DBD"/>
    <w:rsid w:val="009606DD"/>
    <w:rsid w:val="009B112C"/>
    <w:rsid w:val="009B31DA"/>
    <w:rsid w:val="009E083C"/>
    <w:rsid w:val="009E5C6E"/>
    <w:rsid w:val="00A03FCA"/>
    <w:rsid w:val="00A21F9E"/>
    <w:rsid w:val="00A269A2"/>
    <w:rsid w:val="00A70020"/>
    <w:rsid w:val="00A97468"/>
    <w:rsid w:val="00AA4996"/>
    <w:rsid w:val="00AB77E0"/>
    <w:rsid w:val="00AE29DB"/>
    <w:rsid w:val="00AF5889"/>
    <w:rsid w:val="00B0223A"/>
    <w:rsid w:val="00B34BA9"/>
    <w:rsid w:val="00B37887"/>
    <w:rsid w:val="00B433CE"/>
    <w:rsid w:val="00B97F00"/>
    <w:rsid w:val="00BA0F83"/>
    <w:rsid w:val="00BA308C"/>
    <w:rsid w:val="00BD2A06"/>
    <w:rsid w:val="00BD6824"/>
    <w:rsid w:val="00BF565F"/>
    <w:rsid w:val="00BF6332"/>
    <w:rsid w:val="00C0359A"/>
    <w:rsid w:val="00C064A5"/>
    <w:rsid w:val="00C15DD8"/>
    <w:rsid w:val="00C238D5"/>
    <w:rsid w:val="00C360DA"/>
    <w:rsid w:val="00C51AA9"/>
    <w:rsid w:val="00C875F5"/>
    <w:rsid w:val="00C915BD"/>
    <w:rsid w:val="00CA441A"/>
    <w:rsid w:val="00CC2580"/>
    <w:rsid w:val="00CE09C2"/>
    <w:rsid w:val="00CF5DAA"/>
    <w:rsid w:val="00D03021"/>
    <w:rsid w:val="00D17687"/>
    <w:rsid w:val="00D2626D"/>
    <w:rsid w:val="00D34D25"/>
    <w:rsid w:val="00D351D1"/>
    <w:rsid w:val="00D446FD"/>
    <w:rsid w:val="00D5757C"/>
    <w:rsid w:val="00D91D54"/>
    <w:rsid w:val="00D95E1B"/>
    <w:rsid w:val="00DA568F"/>
    <w:rsid w:val="00DC2E57"/>
    <w:rsid w:val="00DC5E49"/>
    <w:rsid w:val="00DD51FB"/>
    <w:rsid w:val="00DE7EB4"/>
    <w:rsid w:val="00DF7095"/>
    <w:rsid w:val="00E91091"/>
    <w:rsid w:val="00E9284B"/>
    <w:rsid w:val="00EA22A5"/>
    <w:rsid w:val="00EB3159"/>
    <w:rsid w:val="00EB6400"/>
    <w:rsid w:val="00ED5B48"/>
    <w:rsid w:val="00ED6765"/>
    <w:rsid w:val="00EE019E"/>
    <w:rsid w:val="00EE4E23"/>
    <w:rsid w:val="00EE6F4E"/>
    <w:rsid w:val="00EF3289"/>
    <w:rsid w:val="00F05D91"/>
    <w:rsid w:val="00F36DC7"/>
    <w:rsid w:val="00F52D29"/>
    <w:rsid w:val="00F73835"/>
    <w:rsid w:val="00F80543"/>
    <w:rsid w:val="00F867AB"/>
    <w:rsid w:val="00F94CFA"/>
    <w:rsid w:val="00FC4242"/>
    <w:rsid w:val="00FE7361"/>
    <w:rsid w:val="04D1504C"/>
    <w:rsid w:val="13063B54"/>
    <w:rsid w:val="23CD6AFB"/>
    <w:rsid w:val="3F143319"/>
    <w:rsid w:val="40287C10"/>
    <w:rsid w:val="40771CFE"/>
    <w:rsid w:val="4C6C37B1"/>
    <w:rsid w:val="589A4CFB"/>
    <w:rsid w:val="5DEE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2848BC"/>
  <w15:docId w15:val="{4AEC5770-3967-9B46-A81C-4EB830C8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autoRedefine/>
    <w:qFormat/>
    <w:pPr>
      <w:widowControl w:val="0"/>
      <w:jc w:val="both"/>
    </w:pPr>
    <w:rPr>
      <w:kern w:val="2"/>
      <w:sz w:val="21"/>
      <w:szCs w:val="22"/>
    </w:rPr>
  </w:style>
  <w:style w:type="paragraph" w:styleId="3">
    <w:name w:val="heading 3"/>
    <w:basedOn w:val="a"/>
    <w:next w:val="a"/>
    <w:qFormat/>
    <w:pPr>
      <w:keepNext/>
      <w:keepLines/>
      <w:spacing w:beforeLines="50" w:before="50" w:afterLines="50" w:after="50"/>
      <w:outlineLvl w:val="2"/>
    </w:pPr>
    <w:rPr>
      <w:rFonts w:eastAsia="方正仿宋简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character" w:customStyle="1" w:styleId="a4">
    <w:name w:val="批注框文本 字符"/>
    <w:basedOn w:val="a0"/>
    <w:link w:val="a3"/>
    <w:uiPriority w:val="99"/>
    <w:semiHidden/>
    <w:qFormat/>
    <w:rPr>
      <w:sz w:val="18"/>
      <w:szCs w:val="18"/>
    </w:rPr>
  </w:style>
  <w:style w:type="paragraph" w:customStyle="1" w:styleId="1">
    <w:name w:val="列表段落1"/>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5559">
      <w:bodyDiv w:val="1"/>
      <w:marLeft w:val="0"/>
      <w:marRight w:val="0"/>
      <w:marTop w:val="0"/>
      <w:marBottom w:val="0"/>
      <w:divBdr>
        <w:top w:val="none" w:sz="0" w:space="0" w:color="auto"/>
        <w:left w:val="none" w:sz="0" w:space="0" w:color="auto"/>
        <w:bottom w:val="none" w:sz="0" w:space="0" w:color="auto"/>
        <w:right w:val="none" w:sz="0" w:space="0" w:color="auto"/>
      </w:divBdr>
      <w:divsChild>
        <w:div w:id="1401708661">
          <w:marLeft w:val="0"/>
          <w:marRight w:val="0"/>
          <w:marTop w:val="0"/>
          <w:marBottom w:val="0"/>
          <w:divBdr>
            <w:top w:val="none" w:sz="0" w:space="0" w:color="auto"/>
            <w:left w:val="none" w:sz="0" w:space="0" w:color="auto"/>
            <w:bottom w:val="none" w:sz="0" w:space="0" w:color="auto"/>
            <w:right w:val="none" w:sz="0" w:space="0" w:color="auto"/>
          </w:divBdr>
          <w:divsChild>
            <w:div w:id="122968536">
              <w:marLeft w:val="0"/>
              <w:marRight w:val="0"/>
              <w:marTop w:val="0"/>
              <w:marBottom w:val="0"/>
              <w:divBdr>
                <w:top w:val="none" w:sz="0" w:space="0" w:color="auto"/>
                <w:left w:val="none" w:sz="0" w:space="0" w:color="auto"/>
                <w:bottom w:val="none" w:sz="0" w:space="0" w:color="auto"/>
                <w:right w:val="none" w:sz="0" w:space="0" w:color="auto"/>
              </w:divBdr>
              <w:divsChild>
                <w:div w:id="84886529">
                  <w:marLeft w:val="0"/>
                  <w:marRight w:val="0"/>
                  <w:marTop w:val="0"/>
                  <w:marBottom w:val="0"/>
                  <w:divBdr>
                    <w:top w:val="none" w:sz="0" w:space="0" w:color="auto"/>
                    <w:left w:val="none" w:sz="0" w:space="0" w:color="auto"/>
                    <w:bottom w:val="none" w:sz="0" w:space="0" w:color="auto"/>
                    <w:right w:val="none" w:sz="0" w:space="0" w:color="auto"/>
                  </w:divBdr>
                  <w:divsChild>
                    <w:div w:id="9523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1594">
      <w:bodyDiv w:val="1"/>
      <w:marLeft w:val="0"/>
      <w:marRight w:val="0"/>
      <w:marTop w:val="0"/>
      <w:marBottom w:val="0"/>
      <w:divBdr>
        <w:top w:val="none" w:sz="0" w:space="0" w:color="auto"/>
        <w:left w:val="none" w:sz="0" w:space="0" w:color="auto"/>
        <w:bottom w:val="none" w:sz="0" w:space="0" w:color="auto"/>
        <w:right w:val="none" w:sz="0" w:space="0" w:color="auto"/>
      </w:divBdr>
      <w:divsChild>
        <w:div w:id="1326668293">
          <w:marLeft w:val="0"/>
          <w:marRight w:val="0"/>
          <w:marTop w:val="0"/>
          <w:marBottom w:val="0"/>
          <w:divBdr>
            <w:top w:val="none" w:sz="0" w:space="0" w:color="auto"/>
            <w:left w:val="none" w:sz="0" w:space="0" w:color="auto"/>
            <w:bottom w:val="none" w:sz="0" w:space="0" w:color="auto"/>
            <w:right w:val="none" w:sz="0" w:space="0" w:color="auto"/>
          </w:divBdr>
          <w:divsChild>
            <w:div w:id="901713946">
              <w:marLeft w:val="0"/>
              <w:marRight w:val="0"/>
              <w:marTop w:val="0"/>
              <w:marBottom w:val="0"/>
              <w:divBdr>
                <w:top w:val="none" w:sz="0" w:space="0" w:color="auto"/>
                <w:left w:val="none" w:sz="0" w:space="0" w:color="auto"/>
                <w:bottom w:val="none" w:sz="0" w:space="0" w:color="auto"/>
                <w:right w:val="none" w:sz="0" w:space="0" w:color="auto"/>
              </w:divBdr>
              <w:divsChild>
                <w:div w:id="2009399658">
                  <w:marLeft w:val="0"/>
                  <w:marRight w:val="0"/>
                  <w:marTop w:val="0"/>
                  <w:marBottom w:val="0"/>
                  <w:divBdr>
                    <w:top w:val="none" w:sz="0" w:space="0" w:color="auto"/>
                    <w:left w:val="none" w:sz="0" w:space="0" w:color="auto"/>
                    <w:bottom w:val="none" w:sz="0" w:space="0" w:color="auto"/>
                    <w:right w:val="none" w:sz="0" w:space="0" w:color="auto"/>
                  </w:divBdr>
                  <w:divsChild>
                    <w:div w:id="20450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32197">
      <w:bodyDiv w:val="1"/>
      <w:marLeft w:val="0"/>
      <w:marRight w:val="0"/>
      <w:marTop w:val="0"/>
      <w:marBottom w:val="0"/>
      <w:divBdr>
        <w:top w:val="none" w:sz="0" w:space="0" w:color="auto"/>
        <w:left w:val="none" w:sz="0" w:space="0" w:color="auto"/>
        <w:bottom w:val="none" w:sz="0" w:space="0" w:color="auto"/>
        <w:right w:val="none" w:sz="0" w:space="0" w:color="auto"/>
      </w:divBdr>
      <w:divsChild>
        <w:div w:id="273559173">
          <w:marLeft w:val="0"/>
          <w:marRight w:val="0"/>
          <w:marTop w:val="0"/>
          <w:marBottom w:val="0"/>
          <w:divBdr>
            <w:top w:val="none" w:sz="0" w:space="0" w:color="auto"/>
            <w:left w:val="none" w:sz="0" w:space="0" w:color="auto"/>
            <w:bottom w:val="none" w:sz="0" w:space="0" w:color="auto"/>
            <w:right w:val="none" w:sz="0" w:space="0" w:color="auto"/>
          </w:divBdr>
          <w:divsChild>
            <w:div w:id="1881093514">
              <w:marLeft w:val="0"/>
              <w:marRight w:val="0"/>
              <w:marTop w:val="0"/>
              <w:marBottom w:val="0"/>
              <w:divBdr>
                <w:top w:val="none" w:sz="0" w:space="0" w:color="auto"/>
                <w:left w:val="none" w:sz="0" w:space="0" w:color="auto"/>
                <w:bottom w:val="none" w:sz="0" w:space="0" w:color="auto"/>
                <w:right w:val="none" w:sz="0" w:space="0" w:color="auto"/>
              </w:divBdr>
              <w:divsChild>
                <w:div w:id="1584415972">
                  <w:marLeft w:val="0"/>
                  <w:marRight w:val="0"/>
                  <w:marTop w:val="0"/>
                  <w:marBottom w:val="0"/>
                  <w:divBdr>
                    <w:top w:val="none" w:sz="0" w:space="0" w:color="auto"/>
                    <w:left w:val="none" w:sz="0" w:space="0" w:color="auto"/>
                    <w:bottom w:val="none" w:sz="0" w:space="0" w:color="auto"/>
                    <w:right w:val="none" w:sz="0" w:space="0" w:color="auto"/>
                  </w:divBdr>
                  <w:divsChild>
                    <w:div w:id="4507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93126">
      <w:bodyDiv w:val="1"/>
      <w:marLeft w:val="0"/>
      <w:marRight w:val="0"/>
      <w:marTop w:val="0"/>
      <w:marBottom w:val="0"/>
      <w:divBdr>
        <w:top w:val="none" w:sz="0" w:space="0" w:color="auto"/>
        <w:left w:val="none" w:sz="0" w:space="0" w:color="auto"/>
        <w:bottom w:val="none" w:sz="0" w:space="0" w:color="auto"/>
        <w:right w:val="none" w:sz="0" w:space="0" w:color="auto"/>
      </w:divBdr>
      <w:divsChild>
        <w:div w:id="1232891913">
          <w:marLeft w:val="0"/>
          <w:marRight w:val="0"/>
          <w:marTop w:val="0"/>
          <w:marBottom w:val="0"/>
          <w:divBdr>
            <w:top w:val="none" w:sz="0" w:space="0" w:color="auto"/>
            <w:left w:val="none" w:sz="0" w:space="0" w:color="auto"/>
            <w:bottom w:val="none" w:sz="0" w:space="0" w:color="auto"/>
            <w:right w:val="none" w:sz="0" w:space="0" w:color="auto"/>
          </w:divBdr>
          <w:divsChild>
            <w:div w:id="1893879629">
              <w:marLeft w:val="0"/>
              <w:marRight w:val="0"/>
              <w:marTop w:val="0"/>
              <w:marBottom w:val="0"/>
              <w:divBdr>
                <w:top w:val="none" w:sz="0" w:space="0" w:color="auto"/>
                <w:left w:val="none" w:sz="0" w:space="0" w:color="auto"/>
                <w:bottom w:val="none" w:sz="0" w:space="0" w:color="auto"/>
                <w:right w:val="none" w:sz="0" w:space="0" w:color="auto"/>
              </w:divBdr>
              <w:divsChild>
                <w:div w:id="1562247655">
                  <w:marLeft w:val="0"/>
                  <w:marRight w:val="0"/>
                  <w:marTop w:val="0"/>
                  <w:marBottom w:val="0"/>
                  <w:divBdr>
                    <w:top w:val="none" w:sz="0" w:space="0" w:color="auto"/>
                    <w:left w:val="none" w:sz="0" w:space="0" w:color="auto"/>
                    <w:bottom w:val="none" w:sz="0" w:space="0" w:color="auto"/>
                    <w:right w:val="none" w:sz="0" w:space="0" w:color="auto"/>
                  </w:divBdr>
                  <w:divsChild>
                    <w:div w:id="16248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03763">
      <w:bodyDiv w:val="1"/>
      <w:marLeft w:val="0"/>
      <w:marRight w:val="0"/>
      <w:marTop w:val="0"/>
      <w:marBottom w:val="0"/>
      <w:divBdr>
        <w:top w:val="none" w:sz="0" w:space="0" w:color="auto"/>
        <w:left w:val="none" w:sz="0" w:space="0" w:color="auto"/>
        <w:bottom w:val="none" w:sz="0" w:space="0" w:color="auto"/>
        <w:right w:val="none" w:sz="0" w:space="0" w:color="auto"/>
      </w:divBdr>
      <w:divsChild>
        <w:div w:id="290474615">
          <w:marLeft w:val="0"/>
          <w:marRight w:val="0"/>
          <w:marTop w:val="0"/>
          <w:marBottom w:val="0"/>
          <w:divBdr>
            <w:top w:val="none" w:sz="0" w:space="0" w:color="auto"/>
            <w:left w:val="none" w:sz="0" w:space="0" w:color="auto"/>
            <w:bottom w:val="none" w:sz="0" w:space="0" w:color="auto"/>
            <w:right w:val="none" w:sz="0" w:space="0" w:color="auto"/>
          </w:divBdr>
          <w:divsChild>
            <w:div w:id="1964536914">
              <w:marLeft w:val="0"/>
              <w:marRight w:val="0"/>
              <w:marTop w:val="0"/>
              <w:marBottom w:val="0"/>
              <w:divBdr>
                <w:top w:val="none" w:sz="0" w:space="0" w:color="auto"/>
                <w:left w:val="none" w:sz="0" w:space="0" w:color="auto"/>
                <w:bottom w:val="none" w:sz="0" w:space="0" w:color="auto"/>
                <w:right w:val="none" w:sz="0" w:space="0" w:color="auto"/>
              </w:divBdr>
              <w:divsChild>
                <w:div w:id="2062748662">
                  <w:marLeft w:val="0"/>
                  <w:marRight w:val="0"/>
                  <w:marTop w:val="0"/>
                  <w:marBottom w:val="0"/>
                  <w:divBdr>
                    <w:top w:val="none" w:sz="0" w:space="0" w:color="auto"/>
                    <w:left w:val="none" w:sz="0" w:space="0" w:color="auto"/>
                    <w:bottom w:val="none" w:sz="0" w:space="0" w:color="auto"/>
                    <w:right w:val="none" w:sz="0" w:space="0" w:color="auto"/>
                  </w:divBdr>
                  <w:divsChild>
                    <w:div w:id="5525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330443">
      <w:bodyDiv w:val="1"/>
      <w:marLeft w:val="0"/>
      <w:marRight w:val="0"/>
      <w:marTop w:val="0"/>
      <w:marBottom w:val="0"/>
      <w:divBdr>
        <w:top w:val="none" w:sz="0" w:space="0" w:color="auto"/>
        <w:left w:val="none" w:sz="0" w:space="0" w:color="auto"/>
        <w:bottom w:val="none" w:sz="0" w:space="0" w:color="auto"/>
        <w:right w:val="none" w:sz="0" w:space="0" w:color="auto"/>
      </w:divBdr>
      <w:divsChild>
        <w:div w:id="230847308">
          <w:marLeft w:val="0"/>
          <w:marRight w:val="0"/>
          <w:marTop w:val="0"/>
          <w:marBottom w:val="0"/>
          <w:divBdr>
            <w:top w:val="none" w:sz="0" w:space="0" w:color="auto"/>
            <w:left w:val="none" w:sz="0" w:space="0" w:color="auto"/>
            <w:bottom w:val="none" w:sz="0" w:space="0" w:color="auto"/>
            <w:right w:val="none" w:sz="0" w:space="0" w:color="auto"/>
          </w:divBdr>
          <w:divsChild>
            <w:div w:id="1685284164">
              <w:marLeft w:val="0"/>
              <w:marRight w:val="0"/>
              <w:marTop w:val="0"/>
              <w:marBottom w:val="0"/>
              <w:divBdr>
                <w:top w:val="none" w:sz="0" w:space="0" w:color="auto"/>
                <w:left w:val="none" w:sz="0" w:space="0" w:color="auto"/>
                <w:bottom w:val="none" w:sz="0" w:space="0" w:color="auto"/>
                <w:right w:val="none" w:sz="0" w:space="0" w:color="auto"/>
              </w:divBdr>
              <w:divsChild>
                <w:div w:id="1746799129">
                  <w:marLeft w:val="0"/>
                  <w:marRight w:val="0"/>
                  <w:marTop w:val="0"/>
                  <w:marBottom w:val="0"/>
                  <w:divBdr>
                    <w:top w:val="none" w:sz="0" w:space="0" w:color="auto"/>
                    <w:left w:val="none" w:sz="0" w:space="0" w:color="auto"/>
                    <w:bottom w:val="none" w:sz="0" w:space="0" w:color="auto"/>
                    <w:right w:val="none" w:sz="0" w:space="0" w:color="auto"/>
                  </w:divBdr>
                  <w:divsChild>
                    <w:div w:id="1774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10959">
      <w:bodyDiv w:val="1"/>
      <w:marLeft w:val="0"/>
      <w:marRight w:val="0"/>
      <w:marTop w:val="0"/>
      <w:marBottom w:val="0"/>
      <w:divBdr>
        <w:top w:val="none" w:sz="0" w:space="0" w:color="auto"/>
        <w:left w:val="none" w:sz="0" w:space="0" w:color="auto"/>
        <w:bottom w:val="none" w:sz="0" w:space="0" w:color="auto"/>
        <w:right w:val="none" w:sz="0" w:space="0" w:color="auto"/>
      </w:divBdr>
      <w:divsChild>
        <w:div w:id="198204505">
          <w:marLeft w:val="0"/>
          <w:marRight w:val="0"/>
          <w:marTop w:val="0"/>
          <w:marBottom w:val="0"/>
          <w:divBdr>
            <w:top w:val="none" w:sz="0" w:space="0" w:color="auto"/>
            <w:left w:val="none" w:sz="0" w:space="0" w:color="auto"/>
            <w:bottom w:val="none" w:sz="0" w:space="0" w:color="auto"/>
            <w:right w:val="none" w:sz="0" w:space="0" w:color="auto"/>
          </w:divBdr>
          <w:divsChild>
            <w:div w:id="889270129">
              <w:marLeft w:val="0"/>
              <w:marRight w:val="0"/>
              <w:marTop w:val="0"/>
              <w:marBottom w:val="0"/>
              <w:divBdr>
                <w:top w:val="none" w:sz="0" w:space="0" w:color="auto"/>
                <w:left w:val="none" w:sz="0" w:space="0" w:color="auto"/>
                <w:bottom w:val="none" w:sz="0" w:space="0" w:color="auto"/>
                <w:right w:val="none" w:sz="0" w:space="0" w:color="auto"/>
              </w:divBdr>
              <w:divsChild>
                <w:div w:id="946426644">
                  <w:marLeft w:val="0"/>
                  <w:marRight w:val="0"/>
                  <w:marTop w:val="0"/>
                  <w:marBottom w:val="0"/>
                  <w:divBdr>
                    <w:top w:val="none" w:sz="0" w:space="0" w:color="auto"/>
                    <w:left w:val="none" w:sz="0" w:space="0" w:color="auto"/>
                    <w:bottom w:val="none" w:sz="0" w:space="0" w:color="auto"/>
                    <w:right w:val="none" w:sz="0" w:space="0" w:color="auto"/>
                  </w:divBdr>
                  <w:divsChild>
                    <w:div w:id="7181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995030">
      <w:bodyDiv w:val="1"/>
      <w:marLeft w:val="0"/>
      <w:marRight w:val="0"/>
      <w:marTop w:val="0"/>
      <w:marBottom w:val="0"/>
      <w:divBdr>
        <w:top w:val="none" w:sz="0" w:space="0" w:color="auto"/>
        <w:left w:val="none" w:sz="0" w:space="0" w:color="auto"/>
        <w:bottom w:val="none" w:sz="0" w:space="0" w:color="auto"/>
        <w:right w:val="none" w:sz="0" w:space="0" w:color="auto"/>
      </w:divBdr>
      <w:divsChild>
        <w:div w:id="1782214367">
          <w:marLeft w:val="0"/>
          <w:marRight w:val="0"/>
          <w:marTop w:val="0"/>
          <w:marBottom w:val="0"/>
          <w:divBdr>
            <w:top w:val="none" w:sz="0" w:space="0" w:color="auto"/>
            <w:left w:val="none" w:sz="0" w:space="0" w:color="auto"/>
            <w:bottom w:val="none" w:sz="0" w:space="0" w:color="auto"/>
            <w:right w:val="none" w:sz="0" w:space="0" w:color="auto"/>
          </w:divBdr>
          <w:divsChild>
            <w:div w:id="716396986">
              <w:marLeft w:val="0"/>
              <w:marRight w:val="0"/>
              <w:marTop w:val="0"/>
              <w:marBottom w:val="0"/>
              <w:divBdr>
                <w:top w:val="none" w:sz="0" w:space="0" w:color="auto"/>
                <w:left w:val="none" w:sz="0" w:space="0" w:color="auto"/>
                <w:bottom w:val="none" w:sz="0" w:space="0" w:color="auto"/>
                <w:right w:val="none" w:sz="0" w:space="0" w:color="auto"/>
              </w:divBdr>
              <w:divsChild>
                <w:div w:id="430783153">
                  <w:marLeft w:val="0"/>
                  <w:marRight w:val="0"/>
                  <w:marTop w:val="0"/>
                  <w:marBottom w:val="0"/>
                  <w:divBdr>
                    <w:top w:val="none" w:sz="0" w:space="0" w:color="auto"/>
                    <w:left w:val="none" w:sz="0" w:space="0" w:color="auto"/>
                    <w:bottom w:val="none" w:sz="0" w:space="0" w:color="auto"/>
                    <w:right w:val="none" w:sz="0" w:space="0" w:color="auto"/>
                  </w:divBdr>
                  <w:divsChild>
                    <w:div w:id="79910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89294">
      <w:bodyDiv w:val="1"/>
      <w:marLeft w:val="0"/>
      <w:marRight w:val="0"/>
      <w:marTop w:val="0"/>
      <w:marBottom w:val="0"/>
      <w:divBdr>
        <w:top w:val="none" w:sz="0" w:space="0" w:color="auto"/>
        <w:left w:val="none" w:sz="0" w:space="0" w:color="auto"/>
        <w:bottom w:val="none" w:sz="0" w:space="0" w:color="auto"/>
        <w:right w:val="none" w:sz="0" w:space="0" w:color="auto"/>
      </w:divBdr>
      <w:divsChild>
        <w:div w:id="375199749">
          <w:marLeft w:val="0"/>
          <w:marRight w:val="0"/>
          <w:marTop w:val="0"/>
          <w:marBottom w:val="0"/>
          <w:divBdr>
            <w:top w:val="none" w:sz="0" w:space="0" w:color="auto"/>
            <w:left w:val="none" w:sz="0" w:space="0" w:color="auto"/>
            <w:bottom w:val="none" w:sz="0" w:space="0" w:color="auto"/>
            <w:right w:val="none" w:sz="0" w:space="0" w:color="auto"/>
          </w:divBdr>
          <w:divsChild>
            <w:div w:id="1664163979">
              <w:marLeft w:val="0"/>
              <w:marRight w:val="0"/>
              <w:marTop w:val="0"/>
              <w:marBottom w:val="0"/>
              <w:divBdr>
                <w:top w:val="none" w:sz="0" w:space="0" w:color="auto"/>
                <w:left w:val="none" w:sz="0" w:space="0" w:color="auto"/>
                <w:bottom w:val="none" w:sz="0" w:space="0" w:color="auto"/>
                <w:right w:val="none" w:sz="0" w:space="0" w:color="auto"/>
              </w:divBdr>
              <w:divsChild>
                <w:div w:id="453062025">
                  <w:marLeft w:val="0"/>
                  <w:marRight w:val="0"/>
                  <w:marTop w:val="0"/>
                  <w:marBottom w:val="0"/>
                  <w:divBdr>
                    <w:top w:val="none" w:sz="0" w:space="0" w:color="auto"/>
                    <w:left w:val="none" w:sz="0" w:space="0" w:color="auto"/>
                    <w:bottom w:val="none" w:sz="0" w:space="0" w:color="auto"/>
                    <w:right w:val="none" w:sz="0" w:space="0" w:color="auto"/>
                  </w:divBdr>
                  <w:divsChild>
                    <w:div w:id="14978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Vistop</dc:creator>
  <cp:lastModifiedBy>Microsoft Office User</cp:lastModifiedBy>
  <cp:revision>174</cp:revision>
  <dcterms:created xsi:type="dcterms:W3CDTF">2022-01-06T03:17:00Z</dcterms:created>
  <dcterms:modified xsi:type="dcterms:W3CDTF">2024-09-12T03:02:00Z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2C51DA44446B4ACFA569D8B54A895D07</vt:lpwstr>
  </property>
</Properties>
</file>